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napToGrid w:val="0"/>
        <w:outlineLvl w:val="0"/>
        <w:rPr>
          <w:rFonts w:ascii="Times New Roman" w:hAnsi="Times New Roman" w:eastAsia="黑体" w:cs="Times New Roman"/>
          <w:sz w:val="28"/>
          <w:szCs w:val="28"/>
        </w:rPr>
      </w:pPr>
      <w:r>
        <w:rPr>
          <w:rFonts w:ascii="Times New Roman" w:hAnsi="Times New Roman" w:eastAsia="黑体" w:cs="Times New Roman"/>
          <w:sz w:val="28"/>
          <w:szCs w:val="28"/>
        </w:rPr>
        <w:t>附件5</w:t>
      </w:r>
    </w:p>
    <w:p>
      <w:pPr>
        <w:jc w:val="center"/>
        <w:rPr>
          <w:rFonts w:ascii="Times New Roman" w:hAnsi="Times New Roman" w:eastAsia="方正小标宋简体" w:cs="Times New Roman"/>
          <w:snapToGrid w:val="0"/>
          <w:spacing w:val="-10"/>
          <w:sz w:val="44"/>
          <w:szCs w:val="44"/>
        </w:rPr>
      </w:pPr>
    </w:p>
    <w:p>
      <w:pPr>
        <w:jc w:val="center"/>
        <w:rPr>
          <w:rFonts w:ascii="Times New Roman" w:hAnsi="Times New Roman" w:eastAsia="方正小标宋简体" w:cs="Times New Roman"/>
          <w:snapToGrid w:val="0"/>
          <w:spacing w:val="-10"/>
          <w:sz w:val="44"/>
          <w:szCs w:val="44"/>
        </w:rPr>
      </w:pPr>
    </w:p>
    <w:p>
      <w:pPr>
        <w:snapToGrid w:val="0"/>
        <w:jc w:val="center"/>
        <w:textAlignment w:val="baseline"/>
        <w:rPr>
          <w:rFonts w:ascii="Times New Roman" w:hAnsi="Times New Roman" w:eastAsia="方正小标宋简体" w:cs="Times New Roman"/>
          <w:bCs/>
          <w:sz w:val="40"/>
          <w:szCs w:val="40"/>
        </w:rPr>
      </w:pPr>
      <w:r>
        <w:rPr>
          <w:rFonts w:hint="eastAsia" w:ascii="Times New Roman" w:hAnsi="Times New Roman" w:eastAsia="方正小标宋简体" w:cs="Times New Roman"/>
          <w:bCs/>
          <w:sz w:val="40"/>
          <w:szCs w:val="40"/>
        </w:rPr>
        <w:t>职业本科</w:t>
      </w:r>
      <w:r>
        <w:rPr>
          <w:rFonts w:ascii="Times New Roman" w:hAnsi="Times New Roman" w:eastAsia="方正小标宋简体" w:cs="Times New Roman"/>
          <w:bCs/>
          <w:sz w:val="40"/>
          <w:szCs w:val="40"/>
        </w:rPr>
        <w:t>拟招生专业信息表</w:t>
      </w:r>
    </w:p>
    <w:p>
      <w:pPr>
        <w:jc w:val="center"/>
        <w:outlineLvl w:val="0"/>
        <w:rPr>
          <w:rFonts w:ascii="楷体" w:hAnsi="楷体" w:eastAsia="楷体" w:cs="楷体"/>
          <w:b/>
          <w:bCs/>
          <w:snapToGrid w:val="0"/>
          <w:spacing w:val="-10"/>
          <w:sz w:val="44"/>
          <w:szCs w:val="44"/>
        </w:rPr>
      </w:pPr>
      <w:r>
        <w:rPr>
          <w:rFonts w:hint="eastAsia" w:ascii="楷体" w:hAnsi="楷体" w:eastAsia="楷体" w:cs="楷体"/>
          <w:bCs/>
          <w:sz w:val="36"/>
          <w:szCs w:val="36"/>
        </w:rPr>
        <w:t>（新增设）</w:t>
      </w:r>
    </w:p>
    <w:p>
      <w:pPr>
        <w:ind w:left="930" w:leftChars="443"/>
        <w:rPr>
          <w:rFonts w:ascii="Times New Roman" w:hAnsi="Times New Roman" w:eastAsia="楷体_GB2312" w:cs="Times New Roman"/>
          <w:sz w:val="32"/>
          <w:szCs w:val="32"/>
          <w:lang w:bidi="ar"/>
        </w:rPr>
      </w:pPr>
    </w:p>
    <w:tbl>
      <w:tblPr>
        <w:tblStyle w:val="20"/>
        <w:tblW w:w="801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20"/>
        <w:gridCol w:w="38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4120" w:type="dxa"/>
          </w:tcPr>
          <w:p>
            <w:pPr>
              <w:ind w:left="563" w:leftChars="268"/>
              <w:jc w:val="distribute"/>
              <w:rPr>
                <w:rFonts w:ascii="Times New Roman" w:hAnsi="Times New Roman" w:eastAsia="仿宋_GB2312" w:cs="Times New Roman"/>
                <w:sz w:val="32"/>
                <w:szCs w:val="32"/>
              </w:rPr>
            </w:pPr>
            <w:r>
              <w:rPr>
                <w:rFonts w:ascii="Times New Roman" w:hAnsi="Times New Roman" w:eastAsia="仿宋_GB2312" w:cs="Times New Roman"/>
                <w:sz w:val="32"/>
                <w:szCs w:val="32"/>
                <w:lang w:bidi="ar"/>
              </w:rPr>
              <w:t>学校名称(盖章)：</w:t>
            </w:r>
          </w:p>
        </w:tc>
        <w:tc>
          <w:tcPr>
            <w:tcW w:w="3891" w:type="dxa"/>
          </w:tcPr>
          <w:p>
            <w:pPr>
              <w:widowControl/>
              <w:overflowPunct w:val="0"/>
              <w:adjustRightInd w:val="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丽水学院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4120" w:type="dxa"/>
          </w:tcPr>
          <w:p>
            <w:pPr>
              <w:ind w:left="563" w:leftChars="268"/>
              <w:jc w:val="distribute"/>
              <w:rPr>
                <w:rFonts w:ascii="Times New Roman" w:hAnsi="Times New Roman" w:eastAsia="仿宋_GB2312" w:cs="Times New Roman"/>
                <w:sz w:val="32"/>
                <w:szCs w:val="32"/>
                <w:lang w:bidi="ar"/>
              </w:rPr>
            </w:pPr>
            <w:r>
              <w:rPr>
                <w:rFonts w:hint="eastAsia" w:ascii="Times New Roman" w:hAnsi="Times New Roman" w:eastAsia="仿宋_GB2312" w:cs="Times New Roman"/>
                <w:sz w:val="32"/>
                <w:szCs w:val="32"/>
                <w:lang w:bidi="ar"/>
              </w:rPr>
              <w:t>学校主管部门：</w:t>
            </w:r>
          </w:p>
        </w:tc>
        <w:tc>
          <w:tcPr>
            <w:tcW w:w="3891" w:type="dxa"/>
          </w:tcPr>
          <w:p>
            <w:pPr>
              <w:widowControl/>
              <w:overflowPunct w:val="0"/>
              <w:adjustRightInd w:val="0"/>
              <w:jc w:val="righ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浙江省教育厅</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4120" w:type="dxa"/>
          </w:tcPr>
          <w:p>
            <w:pPr>
              <w:ind w:left="563" w:leftChars="268"/>
              <w:jc w:val="distribute"/>
              <w:rPr>
                <w:rFonts w:ascii="Times New Roman" w:hAnsi="Times New Roman" w:eastAsia="仿宋_GB2312" w:cs="Times New Roman"/>
                <w:sz w:val="32"/>
                <w:szCs w:val="32"/>
              </w:rPr>
            </w:pPr>
            <w:r>
              <w:rPr>
                <w:rFonts w:ascii="Times New Roman" w:hAnsi="Times New Roman" w:eastAsia="仿宋_GB2312" w:cs="Times New Roman"/>
                <w:sz w:val="32"/>
                <w:szCs w:val="32"/>
                <w:lang w:bidi="ar"/>
              </w:rPr>
              <w:t>专业名称：</w:t>
            </w:r>
          </w:p>
        </w:tc>
        <w:tc>
          <w:tcPr>
            <w:tcW w:w="3891" w:type="dxa"/>
          </w:tcPr>
          <w:p>
            <w:pPr>
              <w:widowControl/>
              <w:overflowPunct w:val="0"/>
              <w:adjustRightInd w:val="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智能</w:t>
            </w:r>
            <w:r>
              <w:rPr>
                <w:rFonts w:hint="eastAsia" w:ascii="Times New Roman" w:hAnsi="Times New Roman" w:eastAsia="仿宋_GB2312" w:cs="Times New Roman"/>
                <w:sz w:val="32"/>
                <w:szCs w:val="32"/>
              </w:rPr>
              <w:t>制造</w:t>
            </w:r>
            <w:r>
              <w:rPr>
                <w:rFonts w:ascii="Times New Roman" w:hAnsi="Times New Roman" w:eastAsia="仿宋_GB2312" w:cs="Times New Roman"/>
                <w:sz w:val="32"/>
                <w:szCs w:val="32"/>
              </w:rPr>
              <w:t>工程技术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4120" w:type="dxa"/>
          </w:tcPr>
          <w:p>
            <w:pPr>
              <w:ind w:left="563" w:leftChars="268"/>
              <w:jc w:val="distribute"/>
              <w:rPr>
                <w:rFonts w:ascii="Times New Roman" w:hAnsi="Times New Roman" w:eastAsia="仿宋_GB2312" w:cs="Times New Roman"/>
                <w:sz w:val="32"/>
                <w:szCs w:val="32"/>
                <w:lang w:bidi="ar"/>
              </w:rPr>
            </w:pPr>
            <w:r>
              <w:rPr>
                <w:rFonts w:ascii="Times New Roman" w:hAnsi="Times New Roman" w:eastAsia="仿宋_GB2312" w:cs="Times New Roman"/>
                <w:sz w:val="32"/>
                <w:szCs w:val="32"/>
                <w:lang w:bidi="ar"/>
              </w:rPr>
              <w:t>专业代码：</w:t>
            </w:r>
          </w:p>
        </w:tc>
        <w:tc>
          <w:tcPr>
            <w:tcW w:w="3891" w:type="dxa"/>
          </w:tcPr>
          <w:p>
            <w:pPr>
              <w:widowControl/>
              <w:overflowPunct w:val="0"/>
              <w:adjustRightInd w:val="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260102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120" w:type="dxa"/>
          </w:tcPr>
          <w:p>
            <w:pPr>
              <w:ind w:left="563" w:leftChars="268"/>
              <w:jc w:val="distribute"/>
              <w:rPr>
                <w:rFonts w:ascii="Times New Roman" w:hAnsi="Times New Roman" w:eastAsia="仿宋_GB2312" w:cs="Times New Roman"/>
                <w:sz w:val="32"/>
                <w:szCs w:val="32"/>
                <w:lang w:bidi="ar"/>
              </w:rPr>
            </w:pPr>
            <w:r>
              <w:rPr>
                <w:rFonts w:hint="eastAsia" w:ascii="Times New Roman" w:hAnsi="Times New Roman" w:eastAsia="仿宋_GB2312" w:cs="Times New Roman"/>
                <w:sz w:val="32"/>
                <w:szCs w:val="32"/>
                <w:lang w:bidi="ar"/>
              </w:rPr>
              <w:t>修业年限：</w:t>
            </w:r>
          </w:p>
        </w:tc>
        <w:tc>
          <w:tcPr>
            <w:tcW w:w="3891" w:type="dxa"/>
          </w:tcPr>
          <w:p>
            <w:pPr>
              <w:widowControl/>
              <w:overflowPunct w:val="0"/>
              <w:adjustRightInd w:val="0"/>
              <w:jc w:val="righ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120" w:type="dxa"/>
          </w:tcPr>
          <w:p>
            <w:pPr>
              <w:ind w:left="563" w:leftChars="268"/>
              <w:jc w:val="distribute"/>
              <w:rPr>
                <w:rFonts w:ascii="Times New Roman" w:hAnsi="Times New Roman" w:eastAsia="仿宋_GB2312" w:cs="Times New Roman"/>
                <w:sz w:val="32"/>
                <w:szCs w:val="32"/>
                <w:lang w:bidi="ar"/>
              </w:rPr>
            </w:pPr>
            <w:r>
              <w:rPr>
                <w:rFonts w:ascii="Times New Roman" w:hAnsi="Times New Roman" w:eastAsia="仿宋_GB2312" w:cs="Times New Roman"/>
                <w:sz w:val="32"/>
                <w:szCs w:val="32"/>
                <w:lang w:bidi="ar"/>
              </w:rPr>
              <w:t>拟招生数：</w:t>
            </w:r>
          </w:p>
        </w:tc>
        <w:tc>
          <w:tcPr>
            <w:tcW w:w="3891" w:type="dxa"/>
          </w:tcPr>
          <w:p>
            <w:pPr>
              <w:widowControl/>
              <w:overflowPunct w:val="0"/>
              <w:adjustRightInd w:val="0"/>
              <w:jc w:val="righ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120" w:type="dxa"/>
          </w:tcPr>
          <w:p>
            <w:pPr>
              <w:ind w:left="563" w:leftChars="268"/>
              <w:jc w:val="distribute"/>
              <w:rPr>
                <w:rFonts w:ascii="Times New Roman" w:hAnsi="Times New Roman" w:eastAsia="仿宋_GB2312" w:cs="Times New Roman"/>
                <w:sz w:val="32"/>
                <w:szCs w:val="32"/>
                <w:lang w:bidi="ar"/>
              </w:rPr>
            </w:pPr>
            <w:r>
              <w:rPr>
                <w:rFonts w:ascii="Times New Roman" w:hAnsi="Times New Roman" w:eastAsia="仿宋_GB2312" w:cs="Times New Roman"/>
                <w:spacing w:val="-20"/>
                <w:sz w:val="32"/>
                <w:szCs w:val="32"/>
                <w:lang w:bidi="ar"/>
              </w:rPr>
              <w:t>专业负责人</w:t>
            </w:r>
            <w:r>
              <w:rPr>
                <w:rFonts w:ascii="Times New Roman" w:hAnsi="Times New Roman" w:eastAsia="仿宋_GB2312" w:cs="Times New Roman"/>
                <w:sz w:val="32"/>
                <w:szCs w:val="32"/>
                <w:lang w:bidi="ar"/>
              </w:rPr>
              <w:t>：</w:t>
            </w:r>
          </w:p>
        </w:tc>
        <w:tc>
          <w:tcPr>
            <w:tcW w:w="3891" w:type="dxa"/>
          </w:tcPr>
          <w:p>
            <w:pPr>
              <w:widowControl/>
              <w:overflowPunct w:val="0"/>
              <w:adjustRightInd w:val="0"/>
              <w:jc w:val="righ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游张平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4120" w:type="dxa"/>
          </w:tcPr>
          <w:p>
            <w:pPr>
              <w:ind w:left="563" w:leftChars="268"/>
              <w:jc w:val="distribute"/>
              <w:rPr>
                <w:rFonts w:ascii="Times New Roman" w:hAnsi="Times New Roman" w:eastAsia="仿宋_GB2312" w:cs="Times New Roman"/>
                <w:sz w:val="32"/>
                <w:szCs w:val="32"/>
                <w:lang w:bidi="ar"/>
              </w:rPr>
            </w:pPr>
            <w:r>
              <w:rPr>
                <w:rFonts w:ascii="Times New Roman" w:hAnsi="Times New Roman" w:eastAsia="仿宋_GB2312" w:cs="Times New Roman"/>
                <w:sz w:val="32"/>
                <w:szCs w:val="32"/>
                <w:lang w:bidi="ar"/>
              </w:rPr>
              <w:t>联系电话：</w:t>
            </w:r>
          </w:p>
        </w:tc>
        <w:tc>
          <w:tcPr>
            <w:tcW w:w="3891" w:type="dxa"/>
          </w:tcPr>
          <w:p>
            <w:pPr>
              <w:widowControl/>
              <w:overflowPunct w:val="0"/>
              <w:adjustRightInd w:val="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159257</w:t>
            </w:r>
            <w:r>
              <w:rPr>
                <w:rFonts w:hint="eastAsia" w:ascii="Times New Roman" w:hAnsi="Times New Roman" w:eastAsia="仿宋_GB2312" w:cs="Times New Roman"/>
                <w:sz w:val="32"/>
                <w:szCs w:val="32"/>
              </w:rPr>
              <w:t>25686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4120" w:type="dxa"/>
          </w:tcPr>
          <w:p>
            <w:pPr>
              <w:ind w:left="563" w:leftChars="268"/>
              <w:jc w:val="distribute"/>
              <w:rPr>
                <w:rFonts w:ascii="Times New Roman" w:hAnsi="Times New Roman" w:eastAsia="仿宋_GB2312" w:cs="Times New Roman"/>
                <w:sz w:val="32"/>
                <w:szCs w:val="32"/>
                <w:lang w:bidi="ar"/>
              </w:rPr>
            </w:pPr>
            <w:r>
              <w:rPr>
                <w:rFonts w:ascii="Times New Roman" w:hAnsi="Times New Roman" w:eastAsia="仿宋_GB2312" w:cs="Times New Roman"/>
                <w:sz w:val="32"/>
                <w:szCs w:val="32"/>
                <w:lang w:bidi="ar"/>
              </w:rPr>
              <w:t>申请时间：</w:t>
            </w:r>
          </w:p>
        </w:tc>
        <w:tc>
          <w:tcPr>
            <w:tcW w:w="3891" w:type="dxa"/>
          </w:tcPr>
          <w:p>
            <w:pPr>
              <w:widowControl/>
              <w:overflowPunct w:val="0"/>
              <w:adjustRightInd w:val="0"/>
              <w:jc w:val="righ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023年</w:t>
            </w:r>
            <w:r>
              <w:rPr>
                <w:rFonts w:hint="eastAsia" w:ascii="Times New Roman" w:hAnsi="Times New Roman" w:eastAsia="仿宋_GB2312" w:cs="Times New Roman"/>
                <w:sz w:val="32"/>
                <w:szCs w:val="32"/>
              </w:rPr>
              <w:t>11月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4120" w:type="dxa"/>
          </w:tcPr>
          <w:p>
            <w:pPr>
              <w:ind w:left="563" w:leftChars="268"/>
              <w:jc w:val="distribute"/>
              <w:rPr>
                <w:rFonts w:ascii="Times New Roman" w:hAnsi="Times New Roman" w:eastAsia="仿宋_GB2312" w:cs="Times New Roman"/>
                <w:sz w:val="32"/>
                <w:szCs w:val="32"/>
                <w:lang w:bidi="ar"/>
              </w:rPr>
            </w:pPr>
            <w:r>
              <w:rPr>
                <w:rFonts w:ascii="Times New Roman" w:hAnsi="Times New Roman" w:eastAsia="仿宋_GB2312" w:cs="Times New Roman"/>
                <w:sz w:val="32"/>
                <w:szCs w:val="32"/>
                <w:lang w:bidi="ar"/>
              </w:rPr>
              <w:t>法定代表人签字：</w:t>
            </w:r>
          </w:p>
        </w:tc>
        <w:tc>
          <w:tcPr>
            <w:tcW w:w="3891" w:type="dxa"/>
          </w:tcPr>
          <w:p>
            <w:pPr>
              <w:widowControl/>
              <w:overflowPunct w:val="0"/>
              <w:adjustRightInd w:val="0"/>
              <w:jc w:val="right"/>
              <w:rPr>
                <w:rFonts w:ascii="Times New Roman" w:hAnsi="Times New Roman" w:eastAsia="仿宋_GB2312" w:cs="Times New Roman"/>
                <w:sz w:val="32"/>
                <w:szCs w:val="32"/>
              </w:rPr>
            </w:pPr>
          </w:p>
        </w:tc>
      </w:tr>
    </w:tbl>
    <w:p>
      <w:pPr>
        <w:ind w:left="930" w:leftChars="443"/>
        <w:rPr>
          <w:rFonts w:ascii="Times New Roman" w:hAnsi="Times New Roman" w:eastAsia="楷体_GB2312" w:cs="Times New Roman"/>
          <w:sz w:val="32"/>
          <w:szCs w:val="32"/>
          <w:lang w:bidi="ar"/>
        </w:rPr>
      </w:pPr>
    </w:p>
    <w:p>
      <w:pPr>
        <w:ind w:left="930" w:leftChars="443"/>
        <w:rPr>
          <w:rFonts w:ascii="Times New Roman" w:hAnsi="Times New Roman" w:eastAsia="楷体_GB2312" w:cs="Times New Roman"/>
          <w:sz w:val="32"/>
          <w:szCs w:val="32"/>
          <w:lang w:bidi="ar"/>
        </w:rPr>
      </w:pPr>
    </w:p>
    <w:p>
      <w:pPr>
        <w:pStyle w:val="19"/>
        <w:rPr>
          <w:rFonts w:ascii="Times New Roman" w:hAnsi="Times New Roman" w:eastAsia="楷体_GB2312" w:cs="Times New Roman"/>
          <w:sz w:val="32"/>
          <w:szCs w:val="32"/>
          <w:lang w:bidi="ar"/>
        </w:rPr>
      </w:pPr>
    </w:p>
    <w:p>
      <w:pPr>
        <w:pStyle w:val="19"/>
        <w:rPr>
          <w:rFonts w:ascii="Times New Roman" w:hAnsi="Times New Roman" w:eastAsia="楷体_GB2312" w:cs="Times New Roman"/>
          <w:sz w:val="32"/>
          <w:szCs w:val="32"/>
          <w:lang w:bidi="ar"/>
        </w:rPr>
      </w:pPr>
    </w:p>
    <w:p>
      <w:pPr>
        <w:ind w:left="930" w:leftChars="443"/>
        <w:rPr>
          <w:rFonts w:ascii="Times New Roman" w:hAnsi="Times New Roman" w:eastAsia="楷体_GB2312" w:cs="Times New Roman"/>
          <w:sz w:val="32"/>
          <w:szCs w:val="32"/>
          <w:lang w:bidi="ar"/>
        </w:rPr>
      </w:pPr>
    </w:p>
    <w:p>
      <w:pPr>
        <w:jc w:val="center"/>
        <w:rPr>
          <w:rFonts w:ascii="Times New Roman" w:hAnsi="Times New Roman" w:eastAsia="楷体_GB2312" w:cs="Times New Roman"/>
          <w:sz w:val="36"/>
          <w:szCs w:val="24"/>
        </w:rPr>
      </w:pPr>
      <w:r>
        <w:rPr>
          <w:rFonts w:ascii="Times New Roman" w:hAnsi="Times New Roman" w:eastAsia="仿宋_GB2312" w:cs="Times New Roman"/>
          <w:sz w:val="36"/>
        </w:rPr>
        <w:t>中华人民共和国教育部制</w:t>
      </w:r>
    </w:p>
    <w:p>
      <w:pPr>
        <w:jc w:val="center"/>
        <w:rPr>
          <w:rFonts w:ascii="Times New Roman" w:hAnsi="Times New Roman" w:eastAsia="楷体_GB2312" w:cs="Times New Roman"/>
          <w:sz w:val="36"/>
          <w:szCs w:val="24"/>
        </w:rPr>
      </w:pPr>
    </w:p>
    <w:p>
      <w:pPr>
        <w:jc w:val="center"/>
        <w:rPr>
          <w:rFonts w:ascii="Times New Roman" w:hAnsi="Times New Roman" w:eastAsia="楷体_GB2312" w:cs="Times New Roman"/>
          <w:sz w:val="32"/>
          <w:szCs w:val="32"/>
          <w:lang w:bidi="ar"/>
        </w:rPr>
      </w:pPr>
    </w:p>
    <w:p>
      <w:pPr>
        <w:jc w:val="center"/>
        <w:rPr>
          <w:rFonts w:ascii="Times New Roman" w:hAnsi="Times New Roman" w:eastAsia="楷体_GB2312" w:cs="Times New Roman"/>
          <w:sz w:val="32"/>
          <w:szCs w:val="32"/>
          <w:lang w:bidi="ar"/>
        </w:rPr>
        <w:sectPr>
          <w:footerReference r:id="rId4" w:type="first"/>
          <w:footerReference r:id="rId3" w:type="default"/>
          <w:pgSz w:w="11906" w:h="16838"/>
          <w:pgMar w:top="1440" w:right="1803" w:bottom="1440" w:left="1803" w:header="851" w:footer="850" w:gutter="0"/>
          <w:cols w:space="720" w:num="1"/>
          <w:titlePg/>
          <w:docGrid w:type="lines" w:linePitch="579" w:charSpace="21679"/>
        </w:sectPr>
      </w:pPr>
    </w:p>
    <w:p>
      <w:pPr>
        <w:jc w:val="center"/>
        <w:rPr>
          <w:rFonts w:ascii="Times New Roman" w:hAnsi="Times New Roman" w:eastAsia="楷体_GB2312" w:cs="Times New Roman"/>
          <w:sz w:val="32"/>
          <w:szCs w:val="32"/>
          <w:lang w:bidi="ar"/>
        </w:rPr>
      </w:pPr>
    </w:p>
    <w:p>
      <w:pPr>
        <w:jc w:val="center"/>
        <w:rPr>
          <w:rFonts w:ascii="Times New Roman" w:hAnsi="Times New Roman" w:eastAsia="楷体_GB2312" w:cs="Times New Roman"/>
          <w:sz w:val="32"/>
          <w:szCs w:val="32"/>
          <w:lang w:bidi="ar"/>
        </w:rPr>
      </w:pPr>
    </w:p>
    <w:p>
      <w:pPr>
        <w:jc w:val="center"/>
        <w:rPr>
          <w:rFonts w:ascii="Times New Roman" w:hAnsi="Times New Roman" w:eastAsia="仿宋_GB2312" w:cs="Times New Roman"/>
          <w:sz w:val="32"/>
          <w:szCs w:val="32"/>
          <w:lang w:bidi="ar"/>
        </w:rPr>
      </w:pPr>
      <w:r>
        <w:rPr>
          <w:rFonts w:ascii="Times New Roman" w:hAnsi="Times New Roman" w:eastAsia="仿宋_GB2312" w:cs="Times New Roman"/>
          <w:sz w:val="32"/>
          <w:szCs w:val="32"/>
          <w:lang w:bidi="ar"/>
        </w:rPr>
        <w:t>填表说明</w:t>
      </w:r>
    </w:p>
    <w:p>
      <w:pPr>
        <w:jc w:val="center"/>
        <w:rPr>
          <w:rFonts w:ascii="Times New Roman" w:hAnsi="Times New Roman" w:eastAsia="仿宋_GB2312" w:cs="Times New Roman"/>
          <w:sz w:val="32"/>
          <w:szCs w:val="32"/>
          <w:lang w:bidi="ar"/>
        </w:rPr>
      </w:pPr>
    </w:p>
    <w:p>
      <w:pPr>
        <w:ind w:firstLine="640" w:firstLineChars="200"/>
        <w:jc w:val="left"/>
        <w:rPr>
          <w:rFonts w:ascii="Times New Roman" w:hAnsi="Times New Roman" w:eastAsia="仿宋_GB2312" w:cs="Times New Roman"/>
          <w:sz w:val="32"/>
          <w:szCs w:val="32"/>
          <w:lang w:bidi="ar"/>
        </w:rPr>
      </w:pPr>
      <w:r>
        <w:rPr>
          <w:rFonts w:ascii="Times New Roman" w:hAnsi="Times New Roman" w:eastAsia="仿宋_GB2312" w:cs="Times New Roman"/>
          <w:sz w:val="32"/>
          <w:szCs w:val="32"/>
          <w:lang w:bidi="ar"/>
        </w:rPr>
        <w:t>1.本表用于各学校填报新增拟招生的</w:t>
      </w:r>
      <w:r>
        <w:rPr>
          <w:rFonts w:hint="eastAsia" w:ascii="Times New Roman" w:hAnsi="Times New Roman" w:eastAsia="仿宋_GB2312" w:cs="Times New Roman"/>
          <w:sz w:val="32"/>
          <w:szCs w:val="32"/>
          <w:lang w:bidi="ar"/>
        </w:rPr>
        <w:t>职业本科</w:t>
      </w:r>
      <w:r>
        <w:rPr>
          <w:rFonts w:ascii="Times New Roman" w:hAnsi="Times New Roman" w:eastAsia="仿宋_GB2312" w:cs="Times New Roman"/>
          <w:sz w:val="32"/>
          <w:szCs w:val="32"/>
          <w:lang w:bidi="ar"/>
        </w:rPr>
        <w:t>教育专业信息。</w:t>
      </w:r>
    </w:p>
    <w:p>
      <w:pPr>
        <w:ind w:firstLine="640" w:firstLineChars="200"/>
        <w:jc w:val="left"/>
        <w:rPr>
          <w:rFonts w:ascii="Times New Roman" w:hAnsi="Times New Roman" w:eastAsia="仿宋_GB2312" w:cs="Times New Roman"/>
          <w:sz w:val="32"/>
          <w:szCs w:val="32"/>
          <w:lang w:bidi="ar"/>
        </w:rPr>
      </w:pPr>
      <w:r>
        <w:rPr>
          <w:rFonts w:ascii="Times New Roman" w:hAnsi="Times New Roman" w:eastAsia="仿宋_GB2312" w:cs="Times New Roman"/>
          <w:sz w:val="32"/>
          <w:szCs w:val="32"/>
          <w:lang w:bidi="ar"/>
        </w:rPr>
        <w:t>2.根据《本科层次职业教育专业设置管理办法（试行）》（以下简称《办法》）的要求如实填报。</w:t>
      </w:r>
    </w:p>
    <w:p>
      <w:pPr>
        <w:ind w:firstLine="640" w:firstLineChars="200"/>
        <w:jc w:val="left"/>
        <w:rPr>
          <w:rFonts w:ascii="Times New Roman" w:hAnsi="Times New Roman" w:eastAsia="仿宋_GB2312" w:cs="Times New Roman"/>
          <w:sz w:val="32"/>
          <w:szCs w:val="32"/>
          <w:lang w:bidi="ar"/>
        </w:rPr>
      </w:pPr>
      <w:r>
        <w:rPr>
          <w:rFonts w:ascii="Times New Roman" w:hAnsi="Times New Roman" w:eastAsia="仿宋_GB2312" w:cs="Times New Roman"/>
          <w:sz w:val="32"/>
          <w:szCs w:val="32"/>
          <w:lang w:bidi="ar"/>
        </w:rPr>
        <w:t>3.表中所填内容要言简意赅，如有需要可另附报告，一个专业对应的报告单独一册，双面打印，单独装订。</w:t>
      </w:r>
    </w:p>
    <w:p>
      <w:pPr>
        <w:ind w:firstLine="640" w:firstLineChars="200"/>
        <w:jc w:val="left"/>
        <w:rPr>
          <w:rFonts w:ascii="Times New Roman" w:hAnsi="Times New Roman" w:eastAsia="仿宋_GB2312" w:cs="Times New Roman"/>
          <w:sz w:val="32"/>
          <w:szCs w:val="32"/>
          <w:lang w:bidi="ar"/>
        </w:rPr>
      </w:pPr>
      <w:r>
        <w:rPr>
          <w:rFonts w:ascii="Times New Roman" w:hAnsi="Times New Roman" w:eastAsia="仿宋_GB2312" w:cs="Times New Roman"/>
          <w:sz w:val="32"/>
          <w:szCs w:val="32"/>
          <w:lang w:bidi="ar"/>
        </w:rPr>
        <w:t>4.学校承诺本表所填师资、办学条件等基本情况真实、准确，如有虚假，一经发现，严肃处理。</w:t>
      </w:r>
    </w:p>
    <w:p>
      <w:pPr>
        <w:widowControl/>
        <w:overflowPunct w:val="0"/>
        <w:adjustRightInd w:val="0"/>
        <w:ind w:firstLine="640" w:firstLineChars="200"/>
        <w:rPr>
          <w:rFonts w:ascii="Times New Roman" w:hAnsi="Times New Roman" w:eastAsia="仿宋_GB2312" w:cs="Times New Roman"/>
          <w:sz w:val="32"/>
          <w:szCs w:val="32"/>
        </w:rPr>
      </w:pPr>
    </w:p>
    <w:p>
      <w:pPr>
        <w:widowControl/>
        <w:overflowPunct w:val="0"/>
        <w:adjustRightInd w:val="0"/>
        <w:ind w:firstLine="640" w:firstLineChars="200"/>
        <w:rPr>
          <w:rFonts w:ascii="Times New Roman" w:hAnsi="Times New Roman" w:eastAsia="仿宋_GB2312" w:cs="Times New Roman"/>
          <w:sz w:val="32"/>
          <w:szCs w:val="32"/>
        </w:rPr>
      </w:pPr>
    </w:p>
    <w:p>
      <w:pPr>
        <w:widowControl/>
        <w:overflowPunct w:val="0"/>
        <w:adjustRightInd w:val="0"/>
        <w:ind w:firstLine="640" w:firstLineChars="200"/>
        <w:rPr>
          <w:rFonts w:ascii="Times New Roman" w:hAnsi="Times New Roman" w:eastAsia="仿宋_GB2312" w:cs="Times New Roman"/>
          <w:sz w:val="32"/>
          <w:szCs w:val="32"/>
        </w:rPr>
      </w:pPr>
    </w:p>
    <w:p>
      <w:pPr>
        <w:jc w:val="center"/>
        <w:rPr>
          <w:rFonts w:ascii="Times New Roman" w:hAnsi="Times New Roman" w:eastAsia="楷体_GB2312" w:cs="Times New Roman"/>
          <w:sz w:val="36"/>
          <w:szCs w:val="24"/>
        </w:rPr>
      </w:pPr>
    </w:p>
    <w:p>
      <w:pPr>
        <w:jc w:val="center"/>
        <w:rPr>
          <w:rFonts w:ascii="Times New Roman" w:hAnsi="Times New Roman" w:eastAsia="楷体_GB2312" w:cs="Times New Roman"/>
          <w:sz w:val="36"/>
          <w:szCs w:val="24"/>
        </w:rPr>
      </w:pPr>
    </w:p>
    <w:p>
      <w:pPr>
        <w:jc w:val="center"/>
        <w:rPr>
          <w:rFonts w:ascii="Times New Roman" w:hAnsi="Times New Roman" w:eastAsia="楷体_GB2312" w:cs="Times New Roman"/>
          <w:sz w:val="36"/>
          <w:szCs w:val="24"/>
        </w:rPr>
      </w:pPr>
    </w:p>
    <w:p>
      <w:pPr>
        <w:jc w:val="center"/>
        <w:rPr>
          <w:rFonts w:ascii="Times New Roman" w:hAnsi="Times New Roman" w:eastAsia="楷体_GB2312" w:cs="Times New Roman"/>
          <w:sz w:val="36"/>
          <w:szCs w:val="24"/>
        </w:rPr>
      </w:pPr>
    </w:p>
    <w:p>
      <w:pPr>
        <w:jc w:val="center"/>
        <w:rPr>
          <w:rFonts w:ascii="Times New Roman" w:hAnsi="Times New Roman" w:eastAsia="楷体_GB2312" w:cs="Times New Roman"/>
          <w:sz w:val="36"/>
          <w:szCs w:val="24"/>
        </w:rPr>
      </w:pPr>
    </w:p>
    <w:p>
      <w:pPr>
        <w:jc w:val="center"/>
        <w:rPr>
          <w:rFonts w:ascii="Times New Roman" w:hAnsi="Times New Roman" w:eastAsia="楷体_GB2312" w:cs="Times New Roman"/>
          <w:sz w:val="36"/>
          <w:szCs w:val="24"/>
        </w:rPr>
      </w:pPr>
    </w:p>
    <w:p>
      <w:pPr>
        <w:jc w:val="center"/>
        <w:rPr>
          <w:rFonts w:ascii="Times New Roman" w:hAnsi="Times New Roman" w:eastAsia="楷体_GB2312" w:cs="Times New Roman"/>
          <w:sz w:val="36"/>
          <w:szCs w:val="24"/>
        </w:rPr>
      </w:pPr>
    </w:p>
    <w:p>
      <w:pPr>
        <w:snapToGrid w:val="0"/>
        <w:jc w:val="center"/>
        <w:rPr>
          <w:rFonts w:ascii="Times New Roman" w:hAnsi="Times New Roman" w:eastAsia="方正仿宋简体" w:cs="Times New Roman"/>
          <w:sz w:val="24"/>
          <w:szCs w:val="24"/>
        </w:rPr>
        <w:sectPr>
          <w:pgSz w:w="11906" w:h="16838"/>
          <w:pgMar w:top="1440" w:right="1803" w:bottom="1440" w:left="1803" w:header="851" w:footer="850" w:gutter="0"/>
          <w:cols w:space="720" w:num="1"/>
          <w:titlePg/>
          <w:docGrid w:type="lines" w:linePitch="579" w:charSpace="21679"/>
        </w:sectPr>
      </w:pPr>
    </w:p>
    <w:tbl>
      <w:tblPr>
        <w:tblStyle w:val="6"/>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
        <w:gridCol w:w="1801"/>
        <w:gridCol w:w="1606"/>
        <w:gridCol w:w="2646"/>
        <w:gridCol w:w="1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jc w:val="center"/>
        </w:trPr>
        <w:tc>
          <w:tcPr>
            <w:tcW w:w="8732" w:type="dxa"/>
            <w:gridSpan w:val="5"/>
            <w:vAlign w:val="center"/>
          </w:tcPr>
          <w:p>
            <w:pPr>
              <w:snapToGrid w:val="0"/>
              <w:jc w:val="left"/>
              <w:rPr>
                <w:rFonts w:ascii="Times New Roman" w:hAnsi="Times New Roman" w:eastAsia="仿宋_GB2312" w:cs="Times New Roman"/>
                <w:sz w:val="24"/>
                <w:szCs w:val="24"/>
              </w:rPr>
            </w:pPr>
            <w:r>
              <w:rPr>
                <w:rFonts w:ascii="Times New Roman" w:hAnsi="Times New Roman" w:eastAsia="仿宋_GB2312" w:cs="Times New Roman"/>
                <w:b/>
                <w:bCs/>
                <w:sz w:val="24"/>
                <w:szCs w:val="24"/>
              </w:rPr>
              <w:t>拟招生专业基本情况：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2689" w:type="dxa"/>
            <w:gridSpan w:val="2"/>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拟招生专业名称</w:t>
            </w:r>
          </w:p>
        </w:tc>
        <w:tc>
          <w:tcPr>
            <w:tcW w:w="1606" w:type="dxa"/>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智能制造工程技术</w:t>
            </w:r>
          </w:p>
        </w:tc>
        <w:tc>
          <w:tcPr>
            <w:tcW w:w="2646" w:type="dxa"/>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专业代码</w:t>
            </w:r>
          </w:p>
        </w:tc>
        <w:tc>
          <w:tcPr>
            <w:tcW w:w="1791" w:type="dxa"/>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r>
              <w:rPr>
                <w:rFonts w:ascii="Times New Roman" w:hAnsi="Times New Roman" w:eastAsia="仿宋_GB2312" w:cs="Times New Roman"/>
                <w:sz w:val="24"/>
                <w:szCs w:val="24"/>
              </w:rPr>
              <w:t>6010</w:t>
            </w:r>
            <w:r>
              <w:rPr>
                <w:rFonts w:hint="eastAsia" w:ascii="Times New Roman" w:hAnsi="Times New Roman" w:eastAsia="仿宋_GB2312" w:cs="Times New Roman"/>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689" w:type="dxa"/>
            <w:gridSpan w:val="2"/>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办学性质</w:t>
            </w:r>
          </w:p>
        </w:tc>
        <w:tc>
          <w:tcPr>
            <w:tcW w:w="1606" w:type="dxa"/>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公办</w:t>
            </w:r>
          </w:p>
        </w:tc>
        <w:tc>
          <w:tcPr>
            <w:tcW w:w="2646" w:type="dxa"/>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学位授予学科门类</w:t>
            </w:r>
          </w:p>
        </w:tc>
        <w:tc>
          <w:tcPr>
            <w:tcW w:w="1791" w:type="dxa"/>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689" w:type="dxa"/>
            <w:gridSpan w:val="2"/>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202</w:t>
            </w:r>
            <w:r>
              <w:rPr>
                <w:rFonts w:hint="eastAsia" w:ascii="Times New Roman" w:hAnsi="Times New Roman" w:eastAsia="仿宋_GB2312" w:cs="Times New Roman"/>
                <w:sz w:val="24"/>
                <w:szCs w:val="24"/>
              </w:rPr>
              <w:t>4</w:t>
            </w:r>
            <w:r>
              <w:rPr>
                <w:rFonts w:ascii="Times New Roman" w:hAnsi="Times New Roman" w:eastAsia="仿宋_GB2312" w:cs="Times New Roman"/>
                <w:sz w:val="24"/>
                <w:szCs w:val="24"/>
              </w:rPr>
              <w:t>年拟招生数（人）</w:t>
            </w:r>
          </w:p>
        </w:tc>
        <w:tc>
          <w:tcPr>
            <w:tcW w:w="1606" w:type="dxa"/>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50</w:t>
            </w:r>
          </w:p>
        </w:tc>
        <w:tc>
          <w:tcPr>
            <w:tcW w:w="2646" w:type="dxa"/>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学制</w:t>
            </w:r>
          </w:p>
        </w:tc>
        <w:tc>
          <w:tcPr>
            <w:tcW w:w="1791" w:type="dxa"/>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89" w:type="dxa"/>
            <w:gridSpan w:val="2"/>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总学时</w:t>
            </w:r>
          </w:p>
        </w:tc>
        <w:tc>
          <w:tcPr>
            <w:tcW w:w="1606" w:type="dxa"/>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2216</w:t>
            </w:r>
          </w:p>
        </w:tc>
        <w:tc>
          <w:tcPr>
            <w:tcW w:w="2646" w:type="dxa"/>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实践教学学时</w:t>
            </w:r>
          </w:p>
        </w:tc>
        <w:tc>
          <w:tcPr>
            <w:tcW w:w="1791" w:type="dxa"/>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jc w:val="center"/>
        </w:trPr>
        <w:tc>
          <w:tcPr>
            <w:tcW w:w="2689" w:type="dxa"/>
            <w:gridSpan w:val="2"/>
            <w:vAlign w:val="center"/>
          </w:tcPr>
          <w:p>
            <w:pPr>
              <w:snapToGrid w:val="0"/>
              <w:jc w:val="center"/>
            </w:pPr>
            <w:r>
              <w:rPr>
                <w:rFonts w:ascii="Times New Roman" w:hAnsi="Times New Roman" w:eastAsia="仿宋_GB2312" w:cs="Times New Roman"/>
                <w:sz w:val="24"/>
                <w:szCs w:val="24"/>
              </w:rPr>
              <w:t>实践教学学时占总学时的比例</w:t>
            </w:r>
          </w:p>
        </w:tc>
        <w:tc>
          <w:tcPr>
            <w:tcW w:w="1606" w:type="dxa"/>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57</w:t>
            </w:r>
          </w:p>
        </w:tc>
        <w:tc>
          <w:tcPr>
            <w:tcW w:w="2646" w:type="dxa"/>
            <w:vAlign w:val="center"/>
          </w:tcPr>
          <w:p>
            <w:pPr>
              <w:snapToGrid w:val="0"/>
              <w:jc w:val="center"/>
            </w:pPr>
            <w:r>
              <w:rPr>
                <w:rFonts w:ascii="Times New Roman" w:hAnsi="Times New Roman" w:eastAsia="仿宋_GB2312" w:cs="Times New Roman"/>
                <w:sz w:val="24"/>
                <w:szCs w:val="24"/>
              </w:rPr>
              <w:t>实验实训项目（任务）能够开出率（%）</w:t>
            </w:r>
          </w:p>
        </w:tc>
        <w:tc>
          <w:tcPr>
            <w:tcW w:w="1791" w:type="dxa"/>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r>
              <w:rPr>
                <w:rFonts w:ascii="Times New Roman" w:hAnsi="Times New Roman" w:eastAsia="仿宋_GB2312" w:cs="Times New Roman"/>
                <w:sz w:val="24"/>
                <w:szCs w:val="24"/>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2689" w:type="dxa"/>
            <w:gridSpan w:val="2"/>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“双师型”教师</w:t>
            </w:r>
          </w:p>
          <w:p>
            <w:pPr>
              <w:snapToGrid w:val="0"/>
              <w:jc w:val="center"/>
            </w:pPr>
            <w:r>
              <w:rPr>
                <w:rFonts w:ascii="Times New Roman" w:hAnsi="Times New Roman" w:eastAsia="仿宋_GB2312" w:cs="Times New Roman"/>
                <w:sz w:val="24"/>
                <w:szCs w:val="24"/>
              </w:rPr>
              <w:t>占比（%）</w:t>
            </w:r>
          </w:p>
        </w:tc>
        <w:tc>
          <w:tcPr>
            <w:tcW w:w="1606" w:type="dxa"/>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66</w:t>
            </w:r>
          </w:p>
        </w:tc>
        <w:tc>
          <w:tcPr>
            <w:tcW w:w="2646" w:type="dxa"/>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兼职教师数（人）</w:t>
            </w:r>
          </w:p>
        </w:tc>
        <w:tc>
          <w:tcPr>
            <w:tcW w:w="1791" w:type="dxa"/>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r>
              <w:rPr>
                <w:rFonts w:ascii="Times New Roman" w:hAnsi="Times New Roman" w:eastAsia="仿宋_GB2312"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7" w:hRule="atLeast"/>
          <w:jc w:val="center"/>
        </w:trPr>
        <w:tc>
          <w:tcPr>
            <w:tcW w:w="2689" w:type="dxa"/>
            <w:gridSpan w:val="2"/>
            <w:vAlign w:val="center"/>
          </w:tcPr>
          <w:p>
            <w:pPr>
              <w:snapToGrid w:val="0"/>
              <w:jc w:val="center"/>
            </w:pPr>
            <w:r>
              <w:rPr>
                <w:rFonts w:ascii="Times New Roman" w:hAnsi="Times New Roman" w:eastAsia="仿宋_GB2312" w:cs="Times New Roman"/>
                <w:sz w:val="24"/>
                <w:szCs w:val="24"/>
              </w:rPr>
              <w:t>兼职教师计划承担的专业课授课学时占专业课总学时比例（%）</w:t>
            </w:r>
          </w:p>
        </w:tc>
        <w:tc>
          <w:tcPr>
            <w:tcW w:w="1606" w:type="dxa"/>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30</w:t>
            </w:r>
          </w:p>
        </w:tc>
        <w:tc>
          <w:tcPr>
            <w:tcW w:w="2646" w:type="dxa"/>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是否有省级及以上教育行政部门等认定的高水平教师教学（科研）创新团队</w:t>
            </w:r>
          </w:p>
        </w:tc>
        <w:tc>
          <w:tcPr>
            <w:tcW w:w="1791" w:type="dxa"/>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7" w:hRule="atLeast"/>
          <w:jc w:val="center"/>
        </w:trPr>
        <w:tc>
          <w:tcPr>
            <w:tcW w:w="2689" w:type="dxa"/>
            <w:gridSpan w:val="2"/>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省级及以上教学名师数量（人）</w:t>
            </w:r>
          </w:p>
        </w:tc>
        <w:tc>
          <w:tcPr>
            <w:tcW w:w="1606" w:type="dxa"/>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2646" w:type="dxa"/>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省级及以上教学领域有关奖励数量（项）</w:t>
            </w:r>
          </w:p>
        </w:tc>
        <w:tc>
          <w:tcPr>
            <w:tcW w:w="1791" w:type="dxa"/>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r>
              <w:rPr>
                <w:rFonts w:ascii="Times New Roman" w:hAnsi="Times New Roman" w:eastAsia="仿宋_GB2312" w:cs="Times New Roman"/>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jc w:val="center"/>
        </w:trPr>
        <w:tc>
          <w:tcPr>
            <w:tcW w:w="2689" w:type="dxa"/>
            <w:gridSpan w:val="2"/>
            <w:vAlign w:val="center"/>
          </w:tcPr>
          <w:p>
            <w:pPr>
              <w:snapToGrid w:val="0"/>
              <w:jc w:val="center"/>
            </w:pPr>
            <w:r>
              <w:rPr>
                <w:rFonts w:ascii="Times New Roman" w:hAnsi="Times New Roman" w:eastAsia="仿宋_GB2312" w:cs="Times New Roman"/>
                <w:sz w:val="24"/>
                <w:szCs w:val="24"/>
              </w:rPr>
              <w:t>生均教学科研仪器设备值（万元）</w:t>
            </w:r>
          </w:p>
        </w:tc>
        <w:tc>
          <w:tcPr>
            <w:tcW w:w="1606" w:type="dxa"/>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7.1</w:t>
            </w:r>
          </w:p>
        </w:tc>
        <w:tc>
          <w:tcPr>
            <w:tcW w:w="2646" w:type="dxa"/>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是否有省级及以上技术研发推广平台</w:t>
            </w:r>
          </w:p>
        </w:tc>
        <w:tc>
          <w:tcPr>
            <w:tcW w:w="1791" w:type="dxa"/>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9" w:hRule="atLeast"/>
          <w:jc w:val="center"/>
        </w:trPr>
        <w:tc>
          <w:tcPr>
            <w:tcW w:w="8732" w:type="dxa"/>
            <w:gridSpan w:val="5"/>
            <w:tcBorders>
              <w:bottom w:val="single" w:color="000000" w:sz="4" w:space="0"/>
            </w:tcBorders>
            <w:vAlign w:val="center"/>
          </w:tcPr>
          <w:p>
            <w:pPr>
              <w:snapToGrid w:val="0"/>
              <w:jc w:val="left"/>
              <w:rPr>
                <w:rFonts w:ascii="Times New Roman" w:hAnsi="Times New Roman" w:eastAsia="仿宋_GB2312" w:cs="Times New Roman"/>
                <w:sz w:val="24"/>
                <w:szCs w:val="24"/>
              </w:rPr>
            </w:pPr>
            <w:r>
              <w:rPr>
                <w:rFonts w:ascii="Times New Roman" w:hAnsi="Times New Roman" w:eastAsia="仿宋_GB2312" w:cs="Times New Roman"/>
                <w:b/>
                <w:bCs/>
                <w:sz w:val="24"/>
                <w:szCs w:val="24"/>
              </w:rPr>
              <w:t>所依托主要专业基本情况：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2689"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专业名称</w:t>
            </w:r>
          </w:p>
        </w:tc>
        <w:tc>
          <w:tcPr>
            <w:tcW w:w="160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机械设计制造及其自动化</w:t>
            </w:r>
          </w:p>
        </w:tc>
        <w:tc>
          <w:tcPr>
            <w:tcW w:w="264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专业代码</w:t>
            </w:r>
          </w:p>
        </w:tc>
        <w:tc>
          <w:tcPr>
            <w:tcW w:w="1791"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080202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jc w:val="center"/>
        </w:trPr>
        <w:tc>
          <w:tcPr>
            <w:tcW w:w="2689"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专业开设时间</w:t>
            </w:r>
          </w:p>
        </w:tc>
        <w:tc>
          <w:tcPr>
            <w:tcW w:w="160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r>
              <w:rPr>
                <w:rFonts w:ascii="Times New Roman" w:hAnsi="Times New Roman" w:eastAsia="仿宋_GB2312" w:cs="Times New Roman"/>
                <w:sz w:val="24"/>
                <w:szCs w:val="24"/>
              </w:rPr>
              <w:t>005</w:t>
            </w:r>
          </w:p>
        </w:tc>
        <w:tc>
          <w:tcPr>
            <w:tcW w:w="264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是否为省级以上</w:t>
            </w:r>
          </w:p>
          <w:p>
            <w:pPr>
              <w:snapToGrid w:val="0"/>
              <w:jc w:val="center"/>
            </w:pPr>
            <w:r>
              <w:rPr>
                <w:rFonts w:ascii="Times New Roman" w:hAnsi="Times New Roman" w:eastAsia="仿宋_GB2312" w:cs="Times New Roman"/>
                <w:sz w:val="24"/>
                <w:szCs w:val="24"/>
              </w:rPr>
              <w:t>重点（特色）专业</w:t>
            </w:r>
          </w:p>
        </w:tc>
        <w:tc>
          <w:tcPr>
            <w:tcW w:w="1791"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4" w:hRule="atLeast"/>
          <w:jc w:val="center"/>
        </w:trPr>
        <w:tc>
          <w:tcPr>
            <w:tcW w:w="2689"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本专业全日制</w:t>
            </w:r>
          </w:p>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在校生数（人）</w:t>
            </w:r>
          </w:p>
        </w:tc>
        <w:tc>
          <w:tcPr>
            <w:tcW w:w="160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w:t>
            </w:r>
            <w:r>
              <w:rPr>
                <w:rFonts w:ascii="Times New Roman" w:hAnsi="Times New Roman" w:eastAsia="仿宋_GB2312" w:cs="Times New Roman"/>
                <w:sz w:val="24"/>
                <w:szCs w:val="24"/>
              </w:rPr>
              <w:t>93</w:t>
            </w:r>
          </w:p>
        </w:tc>
        <w:tc>
          <w:tcPr>
            <w:tcW w:w="264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本专业专任教师</w:t>
            </w:r>
          </w:p>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数（人）</w:t>
            </w:r>
          </w:p>
        </w:tc>
        <w:tc>
          <w:tcPr>
            <w:tcW w:w="1791"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2689"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专任教师与全日制</w:t>
            </w:r>
          </w:p>
          <w:p>
            <w:pPr>
              <w:snapToGrid w:val="0"/>
              <w:jc w:val="center"/>
            </w:pPr>
            <w:r>
              <w:rPr>
                <w:rFonts w:ascii="Times New Roman" w:hAnsi="Times New Roman" w:eastAsia="仿宋_GB2312" w:cs="Times New Roman"/>
                <w:sz w:val="24"/>
                <w:szCs w:val="24"/>
              </w:rPr>
              <w:t>在校生人数之比</w:t>
            </w:r>
          </w:p>
        </w:tc>
        <w:tc>
          <w:tcPr>
            <w:tcW w:w="160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1：1</w:t>
            </w:r>
            <w:r>
              <w:rPr>
                <w:rFonts w:ascii="Times New Roman" w:hAnsi="Times New Roman" w:eastAsia="仿宋_GB2312" w:cs="Times New Roman"/>
                <w:sz w:val="24"/>
                <w:szCs w:val="24"/>
              </w:rPr>
              <w:t>4</w:t>
            </w:r>
          </w:p>
        </w:tc>
        <w:tc>
          <w:tcPr>
            <w:tcW w:w="264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高级职称专任教师</w:t>
            </w:r>
          </w:p>
          <w:p>
            <w:pPr>
              <w:snapToGrid w:val="0"/>
              <w:jc w:val="center"/>
            </w:pPr>
            <w:r>
              <w:rPr>
                <w:rFonts w:ascii="Times New Roman" w:hAnsi="Times New Roman" w:eastAsia="仿宋_GB2312" w:cs="Times New Roman"/>
                <w:sz w:val="24"/>
                <w:szCs w:val="24"/>
              </w:rPr>
              <w:t>比例（%）</w:t>
            </w:r>
          </w:p>
        </w:tc>
        <w:tc>
          <w:tcPr>
            <w:tcW w:w="1791"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2" w:hRule="atLeast"/>
          <w:jc w:val="center"/>
        </w:trPr>
        <w:tc>
          <w:tcPr>
            <w:tcW w:w="2689"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具有研究生学位</w:t>
            </w:r>
          </w:p>
          <w:p>
            <w:pPr>
              <w:snapToGrid w:val="0"/>
              <w:jc w:val="center"/>
            </w:pPr>
            <w:r>
              <w:rPr>
                <w:rFonts w:ascii="Times New Roman" w:hAnsi="Times New Roman" w:eastAsia="仿宋_GB2312" w:cs="Times New Roman"/>
                <w:sz w:val="24"/>
                <w:szCs w:val="24"/>
              </w:rPr>
              <w:t>专任教师比例（%）</w:t>
            </w:r>
          </w:p>
        </w:tc>
        <w:tc>
          <w:tcPr>
            <w:tcW w:w="160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66</w:t>
            </w:r>
          </w:p>
        </w:tc>
        <w:tc>
          <w:tcPr>
            <w:tcW w:w="2646" w:type="dxa"/>
            <w:tcBorders>
              <w:top w:val="single" w:color="000000" w:sz="4" w:space="0"/>
              <w:left w:val="single" w:color="000000" w:sz="4" w:space="0"/>
              <w:bottom w:val="single" w:color="000000" w:sz="4" w:space="0"/>
              <w:right w:val="single" w:color="000000" w:sz="4" w:space="0"/>
            </w:tcBorders>
            <w:vAlign w:val="center"/>
          </w:tcPr>
          <w:p>
            <w:pPr>
              <w:snapToGrid w:val="0"/>
              <w:jc w:val="center"/>
            </w:pPr>
            <w:r>
              <w:rPr>
                <w:rFonts w:ascii="Times New Roman" w:hAnsi="Times New Roman" w:eastAsia="仿宋_GB2312" w:cs="Times New Roman"/>
                <w:sz w:val="24"/>
                <w:szCs w:val="24"/>
              </w:rPr>
              <w:t>具有博士研究生学位专任教师比例（%）</w:t>
            </w:r>
          </w:p>
        </w:tc>
        <w:tc>
          <w:tcPr>
            <w:tcW w:w="1791"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jc w:val="center"/>
        </w:trPr>
        <w:tc>
          <w:tcPr>
            <w:tcW w:w="2689"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202</w:t>
            </w:r>
            <w:r>
              <w:rPr>
                <w:rFonts w:hint="eastAsia" w:ascii="Times New Roman" w:hAnsi="Times New Roman" w:eastAsia="仿宋_GB2312" w:cs="Times New Roman"/>
                <w:sz w:val="24"/>
                <w:szCs w:val="24"/>
              </w:rPr>
              <w:t>3</w:t>
            </w:r>
            <w:r>
              <w:rPr>
                <w:rFonts w:ascii="Times New Roman" w:hAnsi="Times New Roman" w:eastAsia="仿宋_GB2312" w:cs="Times New Roman"/>
                <w:sz w:val="24"/>
                <w:szCs w:val="24"/>
              </w:rPr>
              <w:t>年度面向行业企业和社会开展职业</w:t>
            </w:r>
          </w:p>
          <w:p>
            <w:pPr>
              <w:snapToGrid w:val="0"/>
              <w:jc w:val="center"/>
            </w:pPr>
            <w:r>
              <w:rPr>
                <w:rFonts w:ascii="Times New Roman" w:hAnsi="Times New Roman" w:eastAsia="仿宋_GB2312" w:cs="Times New Roman"/>
                <w:sz w:val="24"/>
                <w:szCs w:val="24"/>
              </w:rPr>
              <w:t>培训人次</w:t>
            </w:r>
          </w:p>
        </w:tc>
        <w:tc>
          <w:tcPr>
            <w:tcW w:w="160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r>
              <w:rPr>
                <w:rFonts w:ascii="Times New Roman" w:hAnsi="Times New Roman" w:eastAsia="仿宋_GB2312" w:cs="Times New Roman"/>
                <w:sz w:val="24"/>
                <w:szCs w:val="24"/>
              </w:rPr>
              <w:t>000</w:t>
            </w:r>
          </w:p>
        </w:tc>
        <w:tc>
          <w:tcPr>
            <w:tcW w:w="264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202</w:t>
            </w:r>
            <w:r>
              <w:rPr>
                <w:rFonts w:hint="eastAsia" w:ascii="Times New Roman" w:hAnsi="Times New Roman" w:eastAsia="仿宋_GB2312" w:cs="Times New Roman"/>
                <w:sz w:val="24"/>
                <w:szCs w:val="24"/>
              </w:rPr>
              <w:t>3</w:t>
            </w:r>
            <w:r>
              <w:rPr>
                <w:rFonts w:ascii="Times New Roman" w:hAnsi="Times New Roman" w:eastAsia="仿宋_GB2312" w:cs="Times New Roman"/>
                <w:sz w:val="24"/>
                <w:szCs w:val="24"/>
              </w:rPr>
              <w:t>年度招生计划</w:t>
            </w:r>
          </w:p>
          <w:p>
            <w:pPr>
              <w:snapToGrid w:val="0"/>
              <w:jc w:val="center"/>
            </w:pPr>
            <w:r>
              <w:rPr>
                <w:rFonts w:ascii="Times New Roman" w:hAnsi="Times New Roman" w:eastAsia="仿宋_GB2312" w:cs="Times New Roman"/>
                <w:sz w:val="24"/>
                <w:szCs w:val="24"/>
              </w:rPr>
              <w:t>完成率（%）</w:t>
            </w:r>
          </w:p>
        </w:tc>
        <w:tc>
          <w:tcPr>
            <w:tcW w:w="1791"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r>
              <w:rPr>
                <w:rFonts w:ascii="Times New Roman" w:hAnsi="Times New Roman" w:eastAsia="仿宋_GB2312" w:cs="Times New Roman"/>
                <w:sz w:val="24"/>
                <w:szCs w:val="24"/>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jc w:val="center"/>
        </w:trPr>
        <w:tc>
          <w:tcPr>
            <w:tcW w:w="2689" w:type="dxa"/>
            <w:gridSpan w:val="2"/>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202</w:t>
            </w:r>
            <w:r>
              <w:rPr>
                <w:rFonts w:hint="eastAsia" w:ascii="Times New Roman" w:hAnsi="Times New Roman" w:eastAsia="仿宋_GB2312" w:cs="Times New Roman"/>
                <w:sz w:val="24"/>
                <w:szCs w:val="24"/>
              </w:rPr>
              <w:t>3</w:t>
            </w:r>
            <w:r>
              <w:rPr>
                <w:rFonts w:ascii="Times New Roman" w:hAnsi="Times New Roman" w:eastAsia="仿宋_GB2312" w:cs="Times New Roman"/>
                <w:sz w:val="24"/>
                <w:szCs w:val="24"/>
              </w:rPr>
              <w:t>年度新生</w:t>
            </w:r>
          </w:p>
          <w:p>
            <w:pPr>
              <w:snapToGrid w:val="0"/>
              <w:jc w:val="center"/>
            </w:pPr>
            <w:r>
              <w:rPr>
                <w:rFonts w:ascii="Times New Roman" w:hAnsi="Times New Roman" w:eastAsia="仿宋_GB2312" w:cs="Times New Roman"/>
                <w:sz w:val="24"/>
                <w:szCs w:val="24"/>
              </w:rPr>
              <w:t>报到率（%）</w:t>
            </w:r>
          </w:p>
        </w:tc>
        <w:tc>
          <w:tcPr>
            <w:tcW w:w="160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r>
              <w:rPr>
                <w:rFonts w:ascii="Times New Roman" w:hAnsi="Times New Roman" w:eastAsia="仿宋_GB2312" w:cs="Times New Roman"/>
                <w:sz w:val="24"/>
                <w:szCs w:val="24"/>
              </w:rPr>
              <w:t>00</w:t>
            </w:r>
          </w:p>
        </w:tc>
        <w:tc>
          <w:tcPr>
            <w:tcW w:w="2646"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202</w:t>
            </w:r>
            <w:r>
              <w:rPr>
                <w:rFonts w:hint="eastAsia" w:ascii="Times New Roman" w:hAnsi="Times New Roman" w:eastAsia="仿宋_GB2312" w:cs="Times New Roman"/>
                <w:sz w:val="24"/>
                <w:szCs w:val="24"/>
              </w:rPr>
              <w:t>3</w:t>
            </w:r>
            <w:r>
              <w:rPr>
                <w:rFonts w:ascii="Times New Roman" w:hAnsi="Times New Roman" w:eastAsia="仿宋_GB2312" w:cs="Times New Roman"/>
                <w:sz w:val="24"/>
                <w:szCs w:val="24"/>
              </w:rPr>
              <w:t>年度应届生</w:t>
            </w:r>
          </w:p>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就业率（%）</w:t>
            </w:r>
          </w:p>
        </w:tc>
        <w:tc>
          <w:tcPr>
            <w:tcW w:w="1791"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9</w:t>
            </w:r>
            <w:r>
              <w:rPr>
                <w:rFonts w:ascii="Times New Roman" w:hAnsi="Times New Roman" w:eastAsia="仿宋_GB2312" w:cs="Times New Roman"/>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15" w:hRule="atLeast"/>
          <w:jc w:val="center"/>
        </w:trPr>
        <w:tc>
          <w:tcPr>
            <w:tcW w:w="888" w:type="dxa"/>
            <w:vAlign w:val="center"/>
          </w:tcPr>
          <w:p>
            <w:pPr>
              <w:snapToGrid w:val="0"/>
              <w:jc w:val="center"/>
              <w:rPr>
                <w:rFonts w:ascii="Times New Roman" w:hAnsi="Times New Roman" w:eastAsia="方正仿宋简体" w:cs="Times New Roman"/>
                <w:sz w:val="24"/>
                <w:szCs w:val="24"/>
              </w:rPr>
            </w:pPr>
            <w:r>
              <w:rPr>
                <w:rFonts w:ascii="Times New Roman" w:hAnsi="Times New Roman" w:eastAsia="仿宋_GB2312" w:cs="Times New Roman"/>
                <w:position w:val="6"/>
                <w:sz w:val="24"/>
                <w:szCs w:val="24"/>
              </w:rPr>
              <w:t>拟招生专业设置可行性</w:t>
            </w:r>
          </w:p>
        </w:tc>
        <w:tc>
          <w:tcPr>
            <w:tcW w:w="7844" w:type="dxa"/>
            <w:gridSpan w:val="4"/>
          </w:tcPr>
          <w:p>
            <w:pPr>
              <w:pStyle w:val="19"/>
              <w:ind w:firstLine="420" w:firstLineChars="200"/>
            </w:pPr>
            <w:r>
              <w:t>依据</w:t>
            </w:r>
            <w:r>
              <w:rPr>
                <w:rFonts w:hint="eastAsia"/>
              </w:rPr>
              <w:t>《“十四五”智能制造发展规划》，全面推进制造业数字化转型、智能化变革。浙江省率先在全国提出并打造未来工厂，聚焦产业集群推进数智化转型提升，构建了智能制造新发展格局，就必须培养智能制造工程技术专业领域的高层次技术技能型人才，以支撑智造类产业和浙江省经济技术发展的需要。</w:t>
            </w:r>
          </w:p>
          <w:p>
            <w:pPr>
              <w:pStyle w:val="19"/>
              <w:ind w:firstLine="422" w:firstLineChars="200"/>
            </w:pPr>
            <w:r>
              <w:rPr>
                <w:rFonts w:hint="eastAsia"/>
                <w:b/>
              </w:rPr>
              <w:t>一是区域产业有需求。</w:t>
            </w:r>
            <w:r>
              <w:rPr>
                <w:rFonts w:hint="eastAsia"/>
              </w:rPr>
              <w:t>丽水市“1315”特色产业链培育工程行动方案提出着力打造1个千亿级、3个五百亿级、15个以上县域特色百亿级产业链。大力推进企业数字化智能化改造，构建“数字化生产线—数字化车间—智能工厂—未来工厂”梯队，每年新增数字化车间（智能化工厂）15家以上，实现规上企业智能化技术改造全覆盖。为了更多智造类高层次技术技能人才留在本地，学校拟开设智能制造工程技术职业本科专业，为区域产业培养一大批能够扎根生产、工程、管理、服务等一线岗位，用科学技术创造性解决技术应用问题的现场工程师。</w:t>
            </w:r>
          </w:p>
          <w:p>
            <w:pPr>
              <w:pStyle w:val="19"/>
              <w:ind w:firstLine="422" w:firstLineChars="200"/>
            </w:pPr>
            <w:r>
              <w:rPr>
                <w:rFonts w:hint="eastAsia"/>
                <w:b/>
                <w:bCs/>
              </w:rPr>
              <w:t>二是专业办学有能力。</w:t>
            </w:r>
            <w:r>
              <w:rPr>
                <w:rFonts w:hint="eastAsia"/>
              </w:rPr>
              <w:t>本专业依托丽水学院机械设计制造及其自动化专业，该专业为浙江省一流专业、浙江省新兴特色专业，校“卓越工程师”、“产教融合”综合改革试点专业，拥有机械工程省级一流学科、“特色文创产品数字化设计与智能制造”省级重点实验室、机械工程省级重点实验教学示范中心、省级校外实践教育基地和丽水滚动功能部件产业学院、丽水市轴承导轨创新平台、中德（丽水）跨企业培训中心等平台。现有师资29人，其中教授5人、博士15人，副高以上职称15人。</w:t>
            </w:r>
          </w:p>
          <w:p>
            <w:pPr>
              <w:pStyle w:val="19"/>
              <w:ind w:firstLine="422" w:firstLineChars="200"/>
            </w:pPr>
            <w:r>
              <w:rPr>
                <w:rFonts w:hint="eastAsia"/>
                <w:b/>
                <w:bCs/>
              </w:rPr>
              <w:t>三是培养目标有论证。</w:t>
            </w:r>
            <w:r>
              <w:rPr>
                <w:rFonts w:hint="eastAsia"/>
              </w:rPr>
              <w:t>专业对接浙江省智能制造产业链，通过对多家已开设智能制造工程技术职业本科专业学校调研以及本科层次职业教育专业设置管理办法（试行）的要求，本专业培养复杂产品多轴加工、智能制造系统集成、开发、规划与设计等领域的实践能力和知识，面向智能制造工程技术人员、机械工程技术人员等职业群（岗位群），能够从事智能智造车间布局规划、工艺设计与仿真、智能装备集成及系统调试、智能制造系统运营管理等工作的高层次创新型技术技能人才。</w:t>
            </w:r>
          </w:p>
          <w:p>
            <w:pPr>
              <w:pStyle w:val="19"/>
              <w:ind w:firstLine="422" w:firstLineChars="200"/>
            </w:pPr>
            <w:r>
              <w:rPr>
                <w:rFonts w:hint="eastAsia"/>
                <w:b/>
                <w:bCs/>
              </w:rPr>
              <w:t>四是专业发展有保障。</w:t>
            </w:r>
            <w:r>
              <w:rPr>
                <w:rFonts w:hint="eastAsia"/>
              </w:rPr>
              <w:t>学校已制定《智能制造专业群建设方案(2020-2025年)》、《丽水学院“十四五”改革和发展规划》等，完善各项工作制度和工作规范，制定工作标准和管理规范。组建智能制造职业本科专业建设指导委员会，制定专业群建设指导委员会章程，根据行业的现状和发展趋势，就校企合作人才培养提出专业建议，参与课程体系、教学内容、教学模式、顶岗实习、实训基地等方面建设工作，保障了智能制造工程技术专业可持续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95" w:hRule="atLeast"/>
          <w:jc w:val="center"/>
        </w:trPr>
        <w:tc>
          <w:tcPr>
            <w:tcW w:w="888" w:type="dxa"/>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教师队伍</w:t>
            </w:r>
          </w:p>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情况要点</w:t>
            </w:r>
          </w:p>
        </w:tc>
        <w:tc>
          <w:tcPr>
            <w:tcW w:w="7844" w:type="dxa"/>
            <w:gridSpan w:val="4"/>
          </w:tcPr>
          <w:p>
            <w:pPr>
              <w:snapToGrid w:val="0"/>
              <w:ind w:firstLine="420" w:firstLineChars="200"/>
              <w:jc w:val="left"/>
            </w:pPr>
            <w:r>
              <w:rPr>
                <w:rFonts w:hint="eastAsia"/>
              </w:rPr>
              <w:t>本校全日制在校生13551人，专任教师829人，全校师生比为1:16；其中本专业全日制在校生393人，专任教师29人，专业师生比为1:14。</w:t>
            </w:r>
          </w:p>
          <w:p>
            <w:pPr>
              <w:snapToGrid w:val="0"/>
              <w:ind w:firstLine="420" w:firstLineChars="200"/>
              <w:jc w:val="left"/>
            </w:pPr>
            <w:r>
              <w:rPr>
                <w:rFonts w:hint="eastAsia"/>
              </w:rPr>
              <w:t>本专业师资队伍结构合理，高级职称专任教师15人，占比52%（其中教授5人），具有研究生学位专任教师19人，比例66%；具有博士研究生学位专任教师15人，比例为52%。本专业的专任教师中，“双师型”教师占比69%。来自行业企业一线的兼职教师占比34%，并有实质性专业教学任务，其所承担的专业课教学任务授课课时占专业课总课时的30%以上。专业现有浙江省“151人才工程”1人，浙江省首席技师1人，丽水市“138人才工程”5人，浙江省首席技师1名，浙江工匠1名。</w:t>
            </w:r>
          </w:p>
          <w:p>
            <w:pPr>
              <w:snapToGrid w:val="0"/>
              <w:ind w:firstLine="420" w:firstLineChars="200"/>
              <w:jc w:val="left"/>
            </w:pPr>
            <w:r>
              <w:rPr>
                <w:rFonts w:hint="eastAsia"/>
              </w:rPr>
              <w:t>本专业教师教科研成果丰富，承担多项国家级、省部级课题。近三年教师科研获浙江省科技技术进步三等奖1项，全国商业科技进步二等奖1项、三等奖1项。建成2门省级一流课程、12门产学合作课程和一系列校精品开放课程及优质课程，公开出版《数控车编程与加工实训教程》等教材4部，与企业共同编写校本教材5本；教师从事省级以上教改项目3个，发表教改论文10余篇，获省青年教师教学竞赛一等奖2个，浙江省教学成果二等奖1项；专业建有省重点实验室1个，省级重点实验示范教学中心等实验和实践教学平台多个；专业学生在专业教师的指导下参加省级以上各类竞赛及技能大赛并获得各类奖项50余个，其中国家级大赛一等奖1个、二等奖5个。</w:t>
            </w:r>
          </w:p>
          <w:p>
            <w:pPr>
              <w:snapToGrid w:val="0"/>
              <w:ind w:firstLine="420" w:firstLineChars="200"/>
              <w:jc w:val="left"/>
            </w:pPr>
            <w:r>
              <w:rPr>
                <w:rFonts w:hint="eastAsia"/>
              </w:rPr>
              <w:t>专业带头人游张平，教授，浙江省151人才，丽水市138人才，浙江省特色文创产品数字化设计与智能制造重点实验室学科方向负责人。先后承担国家863计划、国家科技支撑计划、国家自然科学基金，省重点研发项目、省自然科学基金重点项目等多项省部级以上重大科研项目，获得发明专利授权10余项，发表学术论文50余篇，荣获中国机械工业科学技术二等奖，全国商业科技进步二等奖、三等奖，浙江省装备制造业重点领域首台（套）产品、省科技进步三等奖等5项省部级科研奖项。</w:t>
            </w:r>
          </w:p>
          <w:p>
            <w:pPr>
              <w:snapToGrid w:val="0"/>
              <w:ind w:firstLine="420" w:firstLineChars="200"/>
              <w:jc w:val="left"/>
            </w:pPr>
          </w:p>
          <w:p>
            <w:pPr>
              <w:snapToGrid w:val="0"/>
              <w:jc w:val="left"/>
              <w:rPr>
                <w:rFonts w:ascii="Times New Roman" w:hAnsi="Times New Roman" w:eastAsia="方正仿宋简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5" w:hRule="atLeast"/>
          <w:jc w:val="center"/>
        </w:trPr>
        <w:tc>
          <w:tcPr>
            <w:tcW w:w="888" w:type="dxa"/>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专业人才</w:t>
            </w:r>
          </w:p>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培养方案要点</w:t>
            </w:r>
          </w:p>
        </w:tc>
        <w:tc>
          <w:tcPr>
            <w:tcW w:w="7844" w:type="dxa"/>
            <w:gridSpan w:val="4"/>
          </w:tcPr>
          <w:p>
            <w:pPr>
              <w:snapToGrid w:val="0"/>
              <w:ind w:firstLine="420" w:firstLineChars="200"/>
              <w:jc w:val="left"/>
            </w:pPr>
            <w:r>
              <w:rPr>
                <w:rFonts w:hint="eastAsia"/>
              </w:rPr>
              <w:t>本次招生面向按照2021年公布浙江省教育厅办公室印发《浙江省中高职一体化课程改革方案》装备制造大类中高职一体化专业教学标准实施的高职学生。</w:t>
            </w:r>
          </w:p>
          <w:p>
            <w:pPr>
              <w:snapToGrid w:val="0"/>
              <w:ind w:firstLine="420" w:firstLineChars="200"/>
              <w:jc w:val="left"/>
            </w:pPr>
            <w:r>
              <w:rPr>
                <w:rFonts w:hint="eastAsia"/>
              </w:rPr>
              <w:t>本科层次专业人才培养培养方案以服务智能制造产业需求、学生职业发展需求的“双重需求”为导向，融入国家级专业和课程标准，由学校与地方产业领军企业合作共同制定具有职业教育特色的专业教学实施方案，服务浙江丽水精密制造产业。</w:t>
            </w:r>
          </w:p>
          <w:p>
            <w:pPr>
              <w:snapToGrid w:val="0"/>
              <w:ind w:firstLine="422" w:firstLineChars="200"/>
              <w:jc w:val="left"/>
              <w:rPr>
                <w:b/>
              </w:rPr>
            </w:pPr>
            <w:r>
              <w:rPr>
                <w:rFonts w:hint="eastAsia"/>
                <w:b/>
              </w:rPr>
              <w:t>（1）采用项目驱动教学</w:t>
            </w:r>
          </w:p>
          <w:p>
            <w:pPr>
              <w:snapToGrid w:val="0"/>
              <w:ind w:firstLine="420" w:firstLineChars="200"/>
              <w:jc w:val="left"/>
            </w:pPr>
            <w:r>
              <w:rPr>
                <w:rFonts w:hint="eastAsia"/>
              </w:rPr>
              <w:t>校企共同依据产业岗位任务，开发可实施的典型项目，以项目涵盖的知识点和技能点构建“专业核心课程+X个职业技能课程”课程体系；以“最终产品”为目标，开发具有完整工作过程的项目课程；以“行动系统”为主线，打破学科限制，建设基于行动系统的活页式、工作手册式教材。在课程学习过程中，学生以小组形式分工合作完成项目并上交项目成果。教师依据成果、展示汇报及答辩进行考核。以产业项目需要的技能为切入点，以职业技能竞赛为契机，将产业项目和竞赛内容融入课程，并根据行业技术和市场变化及技能比赛内容调整教学内容。</w:t>
            </w:r>
          </w:p>
          <w:p>
            <w:pPr>
              <w:snapToGrid w:val="0"/>
              <w:ind w:firstLine="422" w:firstLineChars="200"/>
              <w:jc w:val="left"/>
              <w:rPr>
                <w:b/>
              </w:rPr>
            </w:pPr>
            <w:r>
              <w:rPr>
                <w:rFonts w:hint="eastAsia"/>
                <w:b/>
              </w:rPr>
              <w:t>（2）实施“1+X”证书制度，建设职业技能等级认证培训资源</w:t>
            </w:r>
          </w:p>
          <w:p>
            <w:pPr>
              <w:snapToGrid w:val="0"/>
              <w:ind w:firstLine="420" w:firstLineChars="200"/>
              <w:jc w:val="left"/>
            </w:pPr>
            <w:r>
              <w:rPr>
                <w:rFonts w:hint="eastAsia"/>
              </w:rPr>
              <w:t>将“1+X”证书制度纳入人才培养方案，对接国家职业技能标准，以一线工作岗位的核心能力为依据，以工作过程为导向，采取“任务情境—任务实施—相关知识—学习评价”的体例，积极开展工业机器人应用编程、数控设备维护与维修、智能制造系统集成应用等“1+X”试点工作，实施书证融通制度，开发职业教育培训教材和学习资源。</w:t>
            </w:r>
          </w:p>
          <w:p>
            <w:pPr>
              <w:snapToGrid w:val="0"/>
              <w:ind w:firstLine="422" w:firstLineChars="200"/>
              <w:jc w:val="left"/>
              <w:rPr>
                <w:b/>
              </w:rPr>
            </w:pPr>
            <w:r>
              <w:rPr>
                <w:rFonts w:hint="eastAsia"/>
                <w:b/>
              </w:rPr>
              <w:t>（3）植入优质资源、融合产业标准，开放共享教学资源</w:t>
            </w:r>
          </w:p>
          <w:p>
            <w:pPr>
              <w:snapToGrid w:val="0"/>
              <w:ind w:firstLine="420" w:firstLineChars="200"/>
              <w:jc w:val="left"/>
            </w:pPr>
            <w:r>
              <w:rPr>
                <w:rFonts w:hint="eastAsia"/>
              </w:rPr>
              <w:t>将新技术、新工艺、新规范等产业先进元素纳入教学标准和教学内容，引入数字孪生技术、多轴精密加工技术、智能传感与检测技术、数字化车间应用等。校企共同研制科学规范、国际可借鉴的专业群人才培养方案和课程标准，有效整合企业资源，推进产教融合，推动企业、产业参与职业教育人才培养过程。实验实训项目开出率达到100%，课程总学时为22</w:t>
            </w:r>
            <w:r>
              <w:t>16</w:t>
            </w:r>
            <w:r>
              <w:rPr>
                <w:rFonts w:hint="eastAsia"/>
              </w:rPr>
              <w:t>，其中实践学时为1</w:t>
            </w:r>
            <w:r>
              <w:t>254</w:t>
            </w:r>
            <w:r>
              <w:rPr>
                <w:rFonts w:hint="eastAsia"/>
              </w:rPr>
              <w:t>，占</w:t>
            </w:r>
            <w:r>
              <w:t>56.6</w:t>
            </w:r>
            <w:r>
              <w:rPr>
                <w:rFonts w:hint="eastAsia"/>
              </w:rPr>
              <w:t>%。</w:t>
            </w:r>
          </w:p>
          <w:p>
            <w:pPr>
              <w:snapToGrid w:val="0"/>
              <w:ind w:firstLine="422" w:firstLineChars="200"/>
              <w:jc w:val="left"/>
              <w:rPr>
                <w:b/>
              </w:rPr>
            </w:pPr>
            <w:r>
              <w:rPr>
                <w:rFonts w:hint="eastAsia"/>
                <w:b/>
              </w:rPr>
              <w:t>（4）实施学分银行协同培养体系</w:t>
            </w:r>
          </w:p>
          <w:p>
            <w:pPr>
              <w:pStyle w:val="2"/>
              <w:ind w:firstLine="420" w:firstLineChars="200"/>
              <w:rPr>
                <w:rFonts w:ascii="Times New Roman" w:hAnsi="Times New Roman" w:eastAsia="方正仿宋简体" w:cs="Times New Roman"/>
                <w:sz w:val="18"/>
                <w:szCs w:val="18"/>
              </w:rPr>
            </w:pPr>
            <w:r>
              <w:rPr>
                <w:rFonts w:hint="eastAsia"/>
              </w:rPr>
              <w:t>通过开展学分银行工作，建立学生职业教育个人学习账户，项目、课程、职业技能等级证书均设置学分，学生完成项目、课程学习、取得职业技能等级证书等均可获得相应学分，并存入个人学分银行，学分可追溯、可查询、可转换，并终身有效，为技术技能人才持续成长拓宽通道。依托学分银行，贯通中职、高职和本科层次职业教育三级“长学制”职业教育，培养高端技术技能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5" w:hRule="atLeast"/>
          <w:jc w:val="center"/>
        </w:trPr>
        <w:tc>
          <w:tcPr>
            <w:tcW w:w="888" w:type="dxa"/>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办学条件概要</w:t>
            </w:r>
          </w:p>
        </w:tc>
        <w:tc>
          <w:tcPr>
            <w:tcW w:w="7844" w:type="dxa"/>
            <w:gridSpan w:val="4"/>
          </w:tcPr>
          <w:p>
            <w:pPr>
              <w:snapToGrid w:val="0"/>
              <w:ind w:firstLine="420" w:firstLineChars="200"/>
              <w:jc w:val="left"/>
            </w:pPr>
            <w:r>
              <w:rPr>
                <w:rFonts w:hint="eastAsia"/>
              </w:rPr>
              <w:t>丽水学院以校企共建实习基地作为开展学生工程能力培养的主战场，经过数年积累，与浙江晨龙锯床股份有限公司、浙江金马逊机械有限公司、浙江方正电机股份有限公司、丽水市杰祥科技有限公司等4家企业建立的基地成为浙江省特色机电装备大学生校外实践基地。另外，已与浙江中广电器、延锋安道拓方德电机、浙江嘉利工业有限公司等20多家企业联合建立稳定的校外实习基地，积极探索现代学徒制培育模式，与中广电器与延锋安道拓分别合作开设“匠心制造”订单班、“延锋”订单班。与其在专业建设、人才培养方案制定、课程设计、实习实训等方面开展校企合作。2022年，我校与中广电器集团成功申报省教育厅现场工程师项目，相关工作正依托中广“匠心制造”订单班稳步推进中，下一步，我们将在职业本科智能制造工程技术专业学生中积极探索现代学徒制人才培养。积极推进学历证书与职业技能等级证书的互通，积极鼓励本专业学生在获得本科学历的同时考取车工、</w:t>
            </w:r>
            <w:r>
              <w:t>工业机器人系统操作员等</w:t>
            </w:r>
            <w:r>
              <w:rPr>
                <w:rFonts w:hint="eastAsia"/>
              </w:rPr>
              <w:t>职业资格证书。</w:t>
            </w:r>
          </w:p>
          <w:p>
            <w:pPr>
              <w:snapToGrid w:val="0"/>
              <w:ind w:firstLine="420" w:firstLineChars="200"/>
              <w:jc w:val="left"/>
            </w:pPr>
            <w:r>
              <w:rPr>
                <w:rFonts w:hint="eastAsia"/>
              </w:rPr>
              <w:t>专业建设经费来源稳定，能够持续使用，并且每年都在增长。实践中心现有实验室用房面积6500多平方米，设备合计约 4992 余台(套)，仪器设备总值3150多万元:专业生均教学科研仪器约7.1万元。</w:t>
            </w:r>
          </w:p>
          <w:p>
            <w:pPr>
              <w:snapToGrid w:val="0"/>
              <w:ind w:firstLine="420" w:firstLineChars="200"/>
              <w:jc w:val="left"/>
              <w:rPr>
                <w:rFonts w:ascii="Times New Roman" w:hAnsi="Times New Roman" w:eastAsia="方正仿宋简体" w:cs="Times New Roman"/>
                <w:sz w:val="18"/>
                <w:szCs w:val="18"/>
              </w:rPr>
            </w:pPr>
            <w:r>
              <w:rPr>
                <w:rFonts w:hint="eastAsia"/>
              </w:rPr>
              <w:t>学校的机械工程实践中心为浙江省教育厅批准为“十三五”省级重点建设实验教学示范中心。为学生开展教学实验、实习实训、毕业设计、课外科技创新活动、教师科研以及对外培训提供充足的实验实训条件。中心承担机械大类学生的机械基础实验、机械专业综合实验、机械工程训练和机电创新实践等课程的实验实训教学和课外创新实践活动。建有技能训练与考证、开放实验、科学研究等组成的课外育人体系，全面支持学生参加各类课外科技活动。拥有数控加工中心、数控铣、数控车、钳工、3D打印机等一批先进的实验设备，同时满足学生课程实训和技能考证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5" w:hRule="atLeast"/>
          <w:jc w:val="center"/>
        </w:trPr>
        <w:tc>
          <w:tcPr>
            <w:tcW w:w="888" w:type="dxa"/>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技术研发与社会服务基础概要</w:t>
            </w:r>
          </w:p>
        </w:tc>
        <w:tc>
          <w:tcPr>
            <w:tcW w:w="7844" w:type="dxa"/>
            <w:gridSpan w:val="4"/>
          </w:tcPr>
          <w:p>
            <w:pPr>
              <w:snapToGrid w:val="0"/>
              <w:ind w:firstLine="422" w:firstLineChars="200"/>
              <w:jc w:val="left"/>
              <w:rPr>
                <w:b/>
                <w:bCs/>
              </w:rPr>
            </w:pPr>
            <w:r>
              <w:rPr>
                <w:rFonts w:hint="eastAsia"/>
                <w:b/>
                <w:bCs/>
              </w:rPr>
              <w:t>1.积极开展技术研发，打造高水平技术技能创新服务平台</w:t>
            </w:r>
          </w:p>
          <w:p>
            <w:pPr>
              <w:snapToGrid w:val="0"/>
              <w:ind w:firstLine="420" w:firstLineChars="200"/>
              <w:jc w:val="left"/>
            </w:pPr>
            <w:r>
              <w:rPr>
                <w:rFonts w:hint="eastAsia"/>
              </w:rPr>
              <w:t>一是平台建设呈现高起点。先后牵头成立了2家市级科技研发平台（丽水市轴承导轨创新平台、丽水市滚动功能部件创新联合体）；同时与企业联合建设省级重点实验室2家（浙江省航空航天金属导管塑性成形技术与装备重点实验室、浙江省特色文创产品数字化设计与智能制造实验室），并建有科技成果推广转化中心（丽水市重点科技中介服务机构）和省级知识产权联盟单位（开发区汽摩配知识产权联盟）。二是科学研究凸显较高水准。获得浙江省科技技术进步三等奖1项，全国商业科技进步二等奖1项、三等奖1项，省级以上教改项目5个；三是区域服务取得卓越成效。围绕区域特色生态工业发展，牵头成立市派产业团队科技特派员（特派员团）</w:t>
            </w:r>
            <w:r>
              <w:rPr>
                <w:rFonts w:hint="eastAsia"/>
                <w:color w:val="0000FF"/>
              </w:rPr>
              <w:t>8</w:t>
            </w:r>
            <w:r>
              <w:rPr>
                <w:rFonts w:hint="eastAsia"/>
              </w:rPr>
              <w:t>个，在“卡脖子”技术和重点产业领域完成</w:t>
            </w:r>
            <w:r>
              <w:rPr>
                <w:rFonts w:hint="eastAsia"/>
                <w:color w:val="0000FF"/>
              </w:rPr>
              <w:t>3</w:t>
            </w:r>
            <w:r>
              <w:rPr>
                <w:rFonts w:hint="eastAsia"/>
              </w:rPr>
              <w:t>项国内首台（套）。</w:t>
            </w:r>
          </w:p>
          <w:p>
            <w:pPr>
              <w:snapToGrid w:val="0"/>
              <w:ind w:firstLine="422" w:firstLineChars="200"/>
              <w:jc w:val="left"/>
              <w:rPr>
                <w:b/>
                <w:bCs/>
              </w:rPr>
            </w:pPr>
            <w:r>
              <w:rPr>
                <w:rFonts w:hint="eastAsia"/>
                <w:b/>
                <w:bCs/>
              </w:rPr>
              <w:t>2.立足应用技术创新服务，成立精技善教、行业顶尖大师工作室</w:t>
            </w:r>
          </w:p>
          <w:p>
            <w:pPr>
              <w:snapToGrid w:val="0"/>
              <w:ind w:firstLine="420" w:firstLineChars="200"/>
              <w:jc w:val="left"/>
            </w:pPr>
            <w:r>
              <w:rPr>
                <w:rFonts w:hint="eastAsia"/>
              </w:rPr>
              <w:t>由浙江省首席技师史磊牵头成立市级“技能大师工作室”。工作室聚焦丽水经开区滚动功能部件，充分发挥技能大师在技术传授、科技攻关等方面的领军作用，创新人才培养模式，推进课程与教学资源建设。参与制定了滚动功能部件刚性、精度保持性等10余项行业标准；工作室已建的滚动功能部件智能制造实训中心，为本校学生提供工业产品智能化生产过程的认知训练和数控加工、机器人联调实操训练，为企业新产品的研发提供帮助。</w:t>
            </w:r>
          </w:p>
          <w:p>
            <w:pPr>
              <w:snapToGrid w:val="0"/>
              <w:ind w:firstLine="422" w:firstLineChars="200"/>
              <w:jc w:val="left"/>
              <w:rPr>
                <w:b/>
                <w:bCs/>
              </w:rPr>
            </w:pPr>
            <w:r>
              <w:rPr>
                <w:rFonts w:hint="eastAsia"/>
                <w:b/>
                <w:bCs/>
              </w:rPr>
              <w:t>3.构建区域性、共享性融合平台，打造高标准“产学研训创”一体化基地</w:t>
            </w:r>
          </w:p>
          <w:p>
            <w:pPr>
              <w:snapToGrid w:val="0"/>
              <w:ind w:firstLine="420" w:firstLineChars="200"/>
              <w:jc w:val="left"/>
            </w:pPr>
            <w:r>
              <w:rPr>
                <w:rFonts w:hint="eastAsia"/>
              </w:rPr>
              <w:t>结合省级一流专业建设，聚焦智能制造及区域优质企业优势资源，与丽水经发区共建智能制造技术创新实践基地。截止目前基地的师资团队开展5项拟填补国内空白的技术研发项目，授权专利47项，其中发明专利24项，且有1项美国发明专利，形成一套成熟的智能制造专业群人才养方案以及一套智能制造实训基地运营方案，基地开展区域新型现代学徒制人才培训500余人，协同面向学校、社会累计开展各类人才培养超过2000人。</w:t>
            </w:r>
          </w:p>
          <w:p>
            <w:pPr>
              <w:snapToGrid w:val="0"/>
              <w:ind w:firstLine="422" w:firstLineChars="200"/>
              <w:jc w:val="left"/>
              <w:rPr>
                <w:b/>
                <w:bCs/>
              </w:rPr>
            </w:pPr>
            <w:r>
              <w:rPr>
                <w:rFonts w:hint="eastAsia"/>
                <w:b/>
                <w:bCs/>
              </w:rPr>
              <w:t>4.强化技能培训鉴定工程，打造技术技能拔尖型人才培养新高地</w:t>
            </w:r>
          </w:p>
          <w:p>
            <w:pPr>
              <w:snapToGrid w:val="0"/>
              <w:ind w:firstLine="420" w:firstLineChars="200"/>
              <w:jc w:val="left"/>
              <w:rPr>
                <w:rFonts w:ascii="Times New Roman" w:hAnsi="Times New Roman" w:eastAsia="方正仿宋简体" w:cs="Times New Roman"/>
                <w:sz w:val="18"/>
                <w:szCs w:val="18"/>
              </w:rPr>
            </w:pPr>
            <w:r>
              <w:rPr>
                <w:rFonts w:hint="eastAsia"/>
              </w:rPr>
              <w:t>面向社会、企事业单位开展车工、工业机器人等社会急需的职业工种的技能培训和技能鉴定，为企业员工、院校学生开展职业技能等级认证4000人次。承办了行业、市区级各类技能大赛的培训与比赛任务。搭建产学研结合的技术推广服务平台，积极承担短期职业技能培训和岗位培训任务，为企业提供技术支持和培训服务。近五年专业面向行业企业和社会开展职业培训达到10000人次以上，每年达到本专业在校生人数的2倍以上。</w:t>
            </w:r>
          </w:p>
          <w:p>
            <w:pPr>
              <w:snapToGrid w:val="0"/>
              <w:jc w:val="left"/>
              <w:rPr>
                <w:rFonts w:ascii="Times New Roman" w:hAnsi="Times New Roman" w:eastAsia="方正仿宋简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1" w:hRule="atLeast"/>
          <w:jc w:val="center"/>
        </w:trPr>
        <w:tc>
          <w:tcPr>
            <w:tcW w:w="888" w:type="dxa"/>
            <w:vAlign w:val="center"/>
          </w:tcPr>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专家组评议意见</w:t>
            </w:r>
          </w:p>
        </w:tc>
        <w:tc>
          <w:tcPr>
            <w:tcW w:w="7844" w:type="dxa"/>
            <w:gridSpan w:val="4"/>
            <w:vAlign w:val="bottom"/>
          </w:tcPr>
          <w:p>
            <w:pPr>
              <w:snapToGrid w:val="0"/>
              <w:jc w:val="left"/>
              <w:rPr>
                <w:rFonts w:ascii="Times New Roman" w:hAnsi="Times New Roman" w:eastAsia="仿宋_GB2312" w:cs="Times New Roman"/>
                <w:szCs w:val="21"/>
              </w:rPr>
            </w:pPr>
            <w:r>
              <w:rPr>
                <w:rFonts w:ascii="Times New Roman" w:hAnsi="Times New Roman" w:eastAsia="仿宋_GB2312" w:cs="Times New Roman"/>
                <w:szCs w:val="21"/>
              </w:rPr>
              <w:t>（对应《办法》有关规定全面评议，不少于200字）</w:t>
            </w: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p>
          <w:p>
            <w:pPr>
              <w:snapToGrid w:val="0"/>
              <w:jc w:val="left"/>
              <w:rPr>
                <w:rFonts w:ascii="Times New Roman" w:hAnsi="Times New Roman" w:eastAsia="仿宋_GB2312" w:cs="Times New Roman"/>
                <w:sz w:val="18"/>
                <w:szCs w:val="18"/>
              </w:rPr>
            </w:pPr>
            <w:r>
              <w:rPr>
                <w:rFonts w:ascii="Times New Roman" w:hAnsi="Times New Roman" w:eastAsia="仿宋_GB2312" w:cs="Times New Roman"/>
                <w:sz w:val="24"/>
                <w:szCs w:val="24"/>
                <w:lang w:bidi="ar"/>
              </w:rPr>
              <w:tab/>
            </w:r>
          </w:p>
          <w:p>
            <w:pPr>
              <w:tabs>
                <w:tab w:val="left" w:pos="478"/>
              </w:tabs>
              <w:wordWrap w:val="0"/>
              <w:snapToGrid w:val="0"/>
              <w:ind w:firstLine="1440" w:firstLineChars="600"/>
              <w:rPr>
                <w:rFonts w:ascii="Times New Roman" w:hAnsi="Times New Roman" w:eastAsia="仿宋_GB2312" w:cs="Times New Roman"/>
                <w:sz w:val="24"/>
                <w:szCs w:val="24"/>
                <w:lang w:bidi="ar"/>
              </w:rPr>
            </w:pPr>
            <w:r>
              <w:rPr>
                <w:rFonts w:ascii="Times New Roman" w:hAnsi="Times New Roman" w:eastAsia="仿宋_GB2312" w:cs="Times New Roman"/>
                <w:sz w:val="24"/>
                <w:szCs w:val="24"/>
                <w:lang w:bidi="ar"/>
              </w:rPr>
              <w:t xml:space="preserve">专家组长签字：                                   </w:t>
            </w:r>
          </w:p>
          <w:p>
            <w:pPr>
              <w:snapToGrid w:val="0"/>
              <w:jc w:val="right"/>
              <w:rPr>
                <w:rFonts w:ascii="Times New Roman" w:hAnsi="Times New Roman" w:eastAsia="仿宋_GB2312" w:cs="Times New Roman"/>
                <w:szCs w:val="21"/>
                <w:lang w:bidi="ar"/>
              </w:rPr>
            </w:pPr>
          </w:p>
          <w:p>
            <w:pPr>
              <w:snapToGrid w:val="0"/>
              <w:jc w:val="right"/>
              <w:rPr>
                <w:rFonts w:ascii="Times New Roman" w:hAnsi="Times New Roman" w:eastAsia="仿宋_GB2312" w:cs="Times New Roman"/>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9" w:hRule="atLeast"/>
          <w:jc w:val="center"/>
        </w:trPr>
        <w:tc>
          <w:tcPr>
            <w:tcW w:w="888" w:type="dxa"/>
            <w:vAlign w:val="center"/>
          </w:tcPr>
          <w:p>
            <w:pPr>
              <w:snapToGrid w:val="0"/>
              <w:jc w:val="center"/>
              <w:rPr>
                <w:rFonts w:ascii="Times New Roman" w:hAnsi="Times New Roman" w:eastAsia="方正仿宋简体" w:cs="Times New Roman"/>
                <w:sz w:val="24"/>
                <w:szCs w:val="24"/>
              </w:rPr>
            </w:pPr>
          </w:p>
          <w:p>
            <w:pPr>
              <w:snapToGrid w:val="0"/>
              <w:jc w:val="center"/>
              <w:rPr>
                <w:rFonts w:ascii="Times New Roman" w:hAnsi="Times New Roman" w:eastAsia="方正仿宋简体" w:cs="Times New Roman"/>
                <w:sz w:val="24"/>
                <w:szCs w:val="24"/>
              </w:rPr>
            </w:pPr>
          </w:p>
          <w:p>
            <w:pPr>
              <w:snapToGrid w:val="0"/>
              <w:jc w:val="center"/>
              <w:rPr>
                <w:rFonts w:ascii="Times New Roman" w:hAnsi="Times New Roman" w:eastAsia="方正仿宋简体" w:cs="Times New Roman"/>
                <w:sz w:val="24"/>
                <w:szCs w:val="24"/>
              </w:rPr>
            </w:pPr>
          </w:p>
          <w:p>
            <w:pPr>
              <w:snapToGrid w:val="0"/>
              <w:jc w:val="center"/>
              <w:rPr>
                <w:rFonts w:ascii="Times New Roman" w:hAnsi="Times New Roman" w:eastAsia="方正仿宋简体" w:cs="Times New Roman"/>
                <w:sz w:val="24"/>
                <w:szCs w:val="24"/>
              </w:rPr>
            </w:pPr>
          </w:p>
          <w:p>
            <w:pPr>
              <w:snapToGrid w:val="0"/>
              <w:jc w:val="center"/>
              <w:rPr>
                <w:rFonts w:ascii="Times New Roman" w:hAnsi="Times New Roman" w:eastAsia="仿宋_GB2312" w:cs="Times New Roman"/>
                <w:sz w:val="24"/>
                <w:szCs w:val="24"/>
              </w:rPr>
            </w:pPr>
          </w:p>
          <w:p>
            <w:pPr>
              <w:snapToGrid w:val="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省级教育行政部门复核意见</w:t>
            </w:r>
          </w:p>
          <w:p>
            <w:pPr>
              <w:snapToGrid w:val="0"/>
              <w:jc w:val="center"/>
              <w:rPr>
                <w:rFonts w:ascii="Times New Roman" w:hAnsi="Times New Roman" w:eastAsia="方正仿宋简体" w:cs="Times New Roman"/>
                <w:sz w:val="24"/>
                <w:szCs w:val="24"/>
              </w:rPr>
            </w:pPr>
          </w:p>
          <w:p>
            <w:pPr>
              <w:snapToGrid w:val="0"/>
              <w:jc w:val="center"/>
              <w:rPr>
                <w:rFonts w:ascii="Times New Roman" w:hAnsi="Times New Roman" w:eastAsia="方正仿宋简体" w:cs="Times New Roman"/>
                <w:sz w:val="24"/>
                <w:szCs w:val="24"/>
              </w:rPr>
            </w:pPr>
          </w:p>
          <w:p>
            <w:pPr>
              <w:snapToGrid w:val="0"/>
              <w:jc w:val="center"/>
              <w:rPr>
                <w:rFonts w:ascii="Times New Roman" w:hAnsi="Times New Roman" w:eastAsia="方正仿宋简体" w:cs="Times New Roman"/>
                <w:sz w:val="24"/>
                <w:szCs w:val="24"/>
              </w:rPr>
            </w:pPr>
          </w:p>
          <w:p>
            <w:pPr>
              <w:snapToGrid w:val="0"/>
              <w:jc w:val="center"/>
              <w:rPr>
                <w:rFonts w:ascii="Times New Roman" w:hAnsi="Times New Roman" w:eastAsia="方正仿宋简体" w:cs="Times New Roman"/>
                <w:sz w:val="24"/>
                <w:szCs w:val="24"/>
              </w:rPr>
            </w:pPr>
          </w:p>
          <w:p>
            <w:pPr>
              <w:snapToGrid w:val="0"/>
              <w:jc w:val="center"/>
              <w:rPr>
                <w:rFonts w:ascii="Times New Roman" w:hAnsi="Times New Roman" w:eastAsia="方正仿宋简体" w:cs="Times New Roman"/>
                <w:sz w:val="24"/>
                <w:szCs w:val="24"/>
              </w:rPr>
            </w:pPr>
          </w:p>
          <w:p>
            <w:pPr>
              <w:snapToGrid w:val="0"/>
              <w:jc w:val="center"/>
              <w:rPr>
                <w:rFonts w:ascii="Times New Roman" w:hAnsi="Times New Roman" w:eastAsia="方正仿宋简体" w:cs="Times New Roman"/>
                <w:sz w:val="24"/>
                <w:szCs w:val="24"/>
              </w:rPr>
            </w:pPr>
          </w:p>
          <w:p>
            <w:pPr>
              <w:snapToGrid w:val="0"/>
              <w:jc w:val="center"/>
              <w:rPr>
                <w:rFonts w:ascii="Times New Roman" w:hAnsi="Times New Roman" w:eastAsia="方正仿宋简体" w:cs="Times New Roman"/>
                <w:sz w:val="24"/>
                <w:szCs w:val="24"/>
              </w:rPr>
            </w:pPr>
          </w:p>
          <w:p>
            <w:pPr>
              <w:snapToGrid w:val="0"/>
              <w:jc w:val="center"/>
              <w:rPr>
                <w:rFonts w:ascii="Times New Roman" w:hAnsi="Times New Roman" w:eastAsia="方正仿宋简体" w:cs="Times New Roman"/>
                <w:sz w:val="24"/>
                <w:szCs w:val="24"/>
              </w:rPr>
            </w:pPr>
          </w:p>
          <w:p>
            <w:pPr>
              <w:snapToGrid w:val="0"/>
              <w:jc w:val="center"/>
              <w:rPr>
                <w:rFonts w:ascii="Times New Roman" w:hAnsi="Times New Roman" w:eastAsia="方正仿宋简体" w:cs="Times New Roman"/>
                <w:sz w:val="24"/>
                <w:szCs w:val="24"/>
              </w:rPr>
            </w:pPr>
          </w:p>
        </w:tc>
        <w:tc>
          <w:tcPr>
            <w:tcW w:w="7844" w:type="dxa"/>
            <w:gridSpan w:val="4"/>
            <w:vAlign w:val="bottom"/>
          </w:tcPr>
          <w:p>
            <w:pPr>
              <w:wordWrap w:val="0"/>
              <w:snapToGrid w:val="0"/>
              <w:jc w:val="right"/>
              <w:rPr>
                <w:rFonts w:ascii="Times New Roman" w:hAnsi="Times New Roman" w:eastAsia="方正仿宋简体" w:cs="Times New Roman"/>
                <w:sz w:val="18"/>
                <w:szCs w:val="18"/>
                <w:lang w:bidi="ar"/>
              </w:rPr>
            </w:pPr>
          </w:p>
          <w:p>
            <w:pPr>
              <w:snapToGrid w:val="0"/>
              <w:jc w:val="right"/>
              <w:rPr>
                <w:rFonts w:ascii="Times New Roman" w:hAnsi="Times New Roman" w:eastAsia="方正仿宋简体" w:cs="Times New Roman"/>
                <w:sz w:val="18"/>
                <w:szCs w:val="18"/>
                <w:lang w:bidi="ar"/>
              </w:rPr>
            </w:pPr>
          </w:p>
          <w:p>
            <w:pPr>
              <w:snapToGrid w:val="0"/>
              <w:jc w:val="right"/>
              <w:rPr>
                <w:rFonts w:ascii="Times New Roman" w:hAnsi="Times New Roman" w:eastAsia="方正仿宋简体" w:cs="Times New Roman"/>
                <w:sz w:val="18"/>
                <w:szCs w:val="18"/>
                <w:lang w:bidi="ar"/>
              </w:rPr>
            </w:pPr>
          </w:p>
          <w:p>
            <w:pPr>
              <w:snapToGrid w:val="0"/>
              <w:jc w:val="right"/>
              <w:rPr>
                <w:rFonts w:ascii="Times New Roman" w:hAnsi="Times New Roman" w:eastAsia="方正仿宋简体" w:cs="Times New Roman"/>
                <w:sz w:val="18"/>
                <w:szCs w:val="18"/>
                <w:lang w:bidi="ar"/>
              </w:rPr>
            </w:pPr>
          </w:p>
          <w:p>
            <w:pPr>
              <w:snapToGrid w:val="0"/>
              <w:jc w:val="right"/>
              <w:rPr>
                <w:rFonts w:ascii="Times New Roman" w:hAnsi="Times New Roman" w:eastAsia="方正仿宋简体" w:cs="Times New Roman"/>
                <w:sz w:val="18"/>
                <w:szCs w:val="18"/>
                <w:lang w:bidi="ar"/>
              </w:rPr>
            </w:pPr>
          </w:p>
          <w:p>
            <w:pPr>
              <w:snapToGrid w:val="0"/>
              <w:jc w:val="right"/>
              <w:rPr>
                <w:rFonts w:ascii="Times New Roman" w:hAnsi="Times New Roman" w:eastAsia="方正仿宋简体" w:cs="Times New Roman"/>
                <w:sz w:val="18"/>
                <w:szCs w:val="18"/>
                <w:lang w:bidi="ar"/>
              </w:rPr>
            </w:pPr>
          </w:p>
          <w:p>
            <w:pPr>
              <w:snapToGrid w:val="0"/>
              <w:jc w:val="right"/>
              <w:rPr>
                <w:rFonts w:ascii="Times New Roman" w:hAnsi="Times New Roman" w:eastAsia="方正仿宋简体" w:cs="Times New Roman"/>
                <w:sz w:val="18"/>
                <w:szCs w:val="18"/>
                <w:lang w:bidi="ar"/>
              </w:rPr>
            </w:pPr>
          </w:p>
          <w:p>
            <w:pPr>
              <w:snapToGrid w:val="0"/>
              <w:jc w:val="right"/>
              <w:rPr>
                <w:rFonts w:ascii="Times New Roman" w:hAnsi="Times New Roman" w:eastAsia="方正仿宋简体" w:cs="Times New Roman"/>
                <w:sz w:val="18"/>
                <w:szCs w:val="18"/>
                <w:lang w:bidi="ar"/>
              </w:rPr>
            </w:pPr>
          </w:p>
          <w:p>
            <w:pPr>
              <w:snapToGrid w:val="0"/>
              <w:jc w:val="right"/>
              <w:rPr>
                <w:rFonts w:ascii="Times New Roman" w:hAnsi="Times New Roman" w:eastAsia="方正仿宋简体" w:cs="Times New Roman"/>
                <w:sz w:val="18"/>
                <w:szCs w:val="18"/>
                <w:lang w:bidi="ar"/>
              </w:rPr>
            </w:pPr>
          </w:p>
          <w:p>
            <w:pPr>
              <w:snapToGrid w:val="0"/>
              <w:jc w:val="right"/>
              <w:rPr>
                <w:rFonts w:ascii="Times New Roman" w:hAnsi="Times New Roman" w:eastAsia="方正仿宋简体" w:cs="Times New Roman"/>
                <w:sz w:val="18"/>
                <w:szCs w:val="18"/>
                <w:lang w:bidi="ar"/>
              </w:rPr>
            </w:pPr>
          </w:p>
          <w:p>
            <w:pPr>
              <w:snapToGrid w:val="0"/>
              <w:jc w:val="right"/>
              <w:rPr>
                <w:rFonts w:ascii="Times New Roman" w:hAnsi="Times New Roman" w:eastAsia="方正仿宋简体" w:cs="Times New Roman"/>
                <w:sz w:val="18"/>
                <w:szCs w:val="18"/>
                <w:lang w:bidi="ar"/>
              </w:rPr>
            </w:pPr>
          </w:p>
          <w:p>
            <w:pPr>
              <w:snapToGrid w:val="0"/>
              <w:jc w:val="right"/>
              <w:rPr>
                <w:rFonts w:ascii="Times New Roman" w:hAnsi="Times New Roman" w:eastAsia="方正仿宋简体" w:cs="Times New Roman"/>
                <w:sz w:val="18"/>
                <w:szCs w:val="18"/>
                <w:lang w:bidi="ar"/>
              </w:rPr>
            </w:pPr>
          </w:p>
          <w:p>
            <w:pPr>
              <w:wordWrap w:val="0"/>
              <w:snapToGrid w:val="0"/>
              <w:jc w:val="right"/>
              <w:rPr>
                <w:rFonts w:ascii="Times New Roman" w:hAnsi="Times New Roman" w:eastAsia="方正仿宋简体" w:cs="Times New Roman"/>
                <w:sz w:val="18"/>
                <w:szCs w:val="18"/>
                <w:lang w:bidi="ar"/>
              </w:rPr>
            </w:pPr>
          </w:p>
          <w:p>
            <w:pPr>
              <w:wordWrap w:val="0"/>
              <w:snapToGrid w:val="0"/>
              <w:jc w:val="right"/>
              <w:rPr>
                <w:rFonts w:ascii="Times New Roman" w:hAnsi="Times New Roman" w:eastAsia="仿宋_GB2312" w:cs="Times New Roman"/>
                <w:sz w:val="20"/>
                <w:szCs w:val="20"/>
                <w:lang w:bidi="ar"/>
              </w:rPr>
            </w:pPr>
          </w:p>
          <w:p>
            <w:pPr>
              <w:wordWrap w:val="0"/>
              <w:snapToGrid w:val="0"/>
              <w:jc w:val="right"/>
              <w:rPr>
                <w:rFonts w:ascii="Times New Roman" w:hAnsi="Times New Roman" w:eastAsia="仿宋_GB2312" w:cs="Times New Roman"/>
                <w:sz w:val="20"/>
                <w:szCs w:val="20"/>
                <w:lang w:bidi="ar"/>
              </w:rPr>
            </w:pPr>
          </w:p>
          <w:p>
            <w:pPr>
              <w:wordWrap w:val="0"/>
              <w:snapToGrid w:val="0"/>
              <w:jc w:val="right"/>
              <w:rPr>
                <w:rFonts w:ascii="Times New Roman" w:hAnsi="Times New Roman" w:eastAsia="仿宋_GB2312" w:cs="Times New Roman"/>
                <w:sz w:val="20"/>
                <w:szCs w:val="20"/>
                <w:lang w:bidi="ar"/>
              </w:rPr>
            </w:pPr>
          </w:p>
          <w:p>
            <w:pPr>
              <w:wordWrap w:val="0"/>
              <w:snapToGrid w:val="0"/>
              <w:jc w:val="right"/>
              <w:rPr>
                <w:rFonts w:ascii="Times New Roman" w:hAnsi="Times New Roman" w:eastAsia="仿宋_GB2312" w:cs="Times New Roman"/>
                <w:sz w:val="20"/>
                <w:szCs w:val="20"/>
                <w:lang w:bidi="ar"/>
              </w:rPr>
            </w:pPr>
          </w:p>
          <w:p>
            <w:pPr>
              <w:wordWrap w:val="0"/>
              <w:snapToGrid w:val="0"/>
              <w:jc w:val="right"/>
              <w:rPr>
                <w:rFonts w:ascii="Times New Roman" w:hAnsi="Times New Roman" w:eastAsia="仿宋_GB2312" w:cs="Times New Roman"/>
                <w:sz w:val="20"/>
                <w:szCs w:val="20"/>
              </w:rPr>
            </w:pPr>
            <w:r>
              <w:rPr>
                <w:rFonts w:ascii="Times New Roman" w:hAnsi="Times New Roman" w:eastAsia="仿宋_GB2312" w:cs="Times New Roman"/>
                <w:sz w:val="20"/>
                <w:szCs w:val="20"/>
                <w:lang w:bidi="ar"/>
              </w:rPr>
              <w:t xml:space="preserve">          （盖章）                   </w:t>
            </w:r>
          </w:p>
          <w:p>
            <w:pPr>
              <w:snapToGrid w:val="0"/>
              <w:jc w:val="left"/>
              <w:rPr>
                <w:rFonts w:ascii="Times New Roman" w:hAnsi="Times New Roman" w:eastAsia="仿宋_GB2312" w:cs="Times New Roman"/>
                <w:sz w:val="20"/>
                <w:szCs w:val="20"/>
              </w:rPr>
            </w:pPr>
          </w:p>
          <w:p>
            <w:pPr>
              <w:wordWrap w:val="0"/>
              <w:snapToGrid w:val="0"/>
              <w:jc w:val="right"/>
              <w:rPr>
                <w:rFonts w:ascii="Times New Roman" w:hAnsi="Times New Roman" w:eastAsia="方正仿宋简体" w:cs="Times New Roman"/>
                <w:sz w:val="18"/>
                <w:szCs w:val="18"/>
                <w:lang w:bidi="ar"/>
              </w:rPr>
            </w:pPr>
            <w:r>
              <w:rPr>
                <w:rFonts w:ascii="Times New Roman" w:hAnsi="Times New Roman" w:eastAsia="仿宋_GB2312" w:cs="Times New Roman"/>
                <w:sz w:val="20"/>
                <w:szCs w:val="20"/>
                <w:lang w:bidi="ar"/>
              </w:rPr>
              <w:t xml:space="preserve"> 年    月    日      </w:t>
            </w:r>
            <w:r>
              <w:rPr>
                <w:rFonts w:ascii="Times New Roman" w:hAnsi="Times New Roman" w:eastAsia="方正仿宋简体" w:cs="Times New Roman"/>
                <w:sz w:val="18"/>
                <w:szCs w:val="18"/>
                <w:lang w:bidi="ar"/>
              </w:rPr>
              <w:t xml:space="preserve">         </w:t>
            </w:r>
          </w:p>
          <w:p>
            <w:pPr>
              <w:snapToGrid w:val="0"/>
              <w:jc w:val="right"/>
              <w:rPr>
                <w:rFonts w:ascii="Times New Roman" w:hAnsi="Times New Roman" w:eastAsia="方正仿宋简体" w:cs="Times New Roman"/>
                <w:sz w:val="18"/>
                <w:szCs w:val="18"/>
                <w:lang w:bidi="ar"/>
              </w:rPr>
            </w:pPr>
          </w:p>
          <w:p>
            <w:pPr>
              <w:rPr>
                <w:rFonts w:ascii="Times New Roman" w:hAnsi="Times New Roman" w:eastAsia="方正仿宋简体" w:cs="Times New Roman"/>
                <w:sz w:val="18"/>
                <w:szCs w:val="18"/>
                <w:lang w:bidi="ar"/>
              </w:rPr>
            </w:pPr>
          </w:p>
          <w:p>
            <w:pPr>
              <w:rPr>
                <w:rFonts w:ascii="Times New Roman" w:hAnsi="Times New Roman" w:eastAsia="方正仿宋简体" w:cs="Times New Roman"/>
                <w:sz w:val="18"/>
                <w:szCs w:val="18"/>
                <w:lang w:bidi="ar"/>
              </w:rPr>
            </w:pPr>
          </w:p>
          <w:p>
            <w:pPr>
              <w:rPr>
                <w:rFonts w:ascii="Times New Roman" w:hAnsi="Times New Roman" w:eastAsia="方正仿宋简体" w:cs="Times New Roman"/>
                <w:sz w:val="18"/>
                <w:szCs w:val="18"/>
                <w:lang w:bidi="ar"/>
              </w:rPr>
            </w:pPr>
          </w:p>
          <w:p>
            <w:pPr>
              <w:rPr>
                <w:rFonts w:ascii="Times New Roman" w:hAnsi="Times New Roman" w:eastAsia="方正仿宋简体" w:cs="Times New Roman"/>
                <w:sz w:val="18"/>
                <w:szCs w:val="18"/>
                <w:lang w:bidi="ar"/>
              </w:rPr>
            </w:pPr>
          </w:p>
          <w:p>
            <w:pPr>
              <w:rPr>
                <w:rFonts w:ascii="Times New Roman" w:hAnsi="Times New Roman" w:eastAsia="方正仿宋简体" w:cs="Times New Roman"/>
                <w:sz w:val="18"/>
                <w:szCs w:val="18"/>
                <w:lang w:bidi="ar"/>
              </w:rPr>
            </w:pPr>
          </w:p>
        </w:tc>
      </w:tr>
    </w:tbl>
    <w:p>
      <w:pPr>
        <w:jc w:val="left"/>
        <w:rPr>
          <w:rFonts w:ascii="Times New Roman" w:hAnsi="Times New Roman" w:eastAsia="仿宋_GB2312" w:cs="Times New Roman"/>
          <w:sz w:val="32"/>
          <w:szCs w:val="32"/>
        </w:rPr>
      </w:pPr>
    </w:p>
    <w:sectPr>
      <w:footerReference r:id="rId5"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10</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sdt>
      <w:sdtPr>
        <w:rPr>
          <w:sz w:val="28"/>
          <w:szCs w:val="28"/>
        </w:rPr>
        <w:id w:val="-1"/>
      </w:sdtPr>
      <w:sdtEndPr>
        <w:rPr>
          <w:sz w:val="28"/>
          <w:szCs w:val="28"/>
        </w:rPr>
      </w:sdtEndP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20</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ZjYzBjM2M0YTIxNDYyNzBmZmVmN2IyODA0YTBmODcifQ=="/>
  </w:docVars>
  <w:rsids>
    <w:rsidRoot w:val="00190FBE"/>
    <w:rsid w:val="000A79E6"/>
    <w:rsid w:val="00155F50"/>
    <w:rsid w:val="00162301"/>
    <w:rsid w:val="00190FBE"/>
    <w:rsid w:val="00241BC0"/>
    <w:rsid w:val="00370EE6"/>
    <w:rsid w:val="003A0CD7"/>
    <w:rsid w:val="003B6638"/>
    <w:rsid w:val="00446CDB"/>
    <w:rsid w:val="0046723C"/>
    <w:rsid w:val="004E0770"/>
    <w:rsid w:val="006518D9"/>
    <w:rsid w:val="006802EC"/>
    <w:rsid w:val="006C76D6"/>
    <w:rsid w:val="0071542C"/>
    <w:rsid w:val="00805343"/>
    <w:rsid w:val="00867B18"/>
    <w:rsid w:val="008736C3"/>
    <w:rsid w:val="008F28C8"/>
    <w:rsid w:val="008F6D01"/>
    <w:rsid w:val="009D7B8E"/>
    <w:rsid w:val="00A71F9E"/>
    <w:rsid w:val="00A756E5"/>
    <w:rsid w:val="00A835D9"/>
    <w:rsid w:val="00AC51D4"/>
    <w:rsid w:val="00AD0459"/>
    <w:rsid w:val="00AD0B1F"/>
    <w:rsid w:val="00AD1725"/>
    <w:rsid w:val="00B34483"/>
    <w:rsid w:val="00B656BB"/>
    <w:rsid w:val="00BA211F"/>
    <w:rsid w:val="00BF2F73"/>
    <w:rsid w:val="00D15697"/>
    <w:rsid w:val="00D32BBD"/>
    <w:rsid w:val="00D87950"/>
    <w:rsid w:val="00DB544B"/>
    <w:rsid w:val="00DC0FA6"/>
    <w:rsid w:val="00DD1034"/>
    <w:rsid w:val="00E009E0"/>
    <w:rsid w:val="00E55ABC"/>
    <w:rsid w:val="00E64E96"/>
    <w:rsid w:val="00F21523"/>
    <w:rsid w:val="086033F3"/>
    <w:rsid w:val="09EE6E00"/>
    <w:rsid w:val="0AAF181B"/>
    <w:rsid w:val="0B1F0E32"/>
    <w:rsid w:val="15B874D9"/>
    <w:rsid w:val="20CB4797"/>
    <w:rsid w:val="22673743"/>
    <w:rsid w:val="26130D9B"/>
    <w:rsid w:val="299038A1"/>
    <w:rsid w:val="2B072E35"/>
    <w:rsid w:val="2D0A0A71"/>
    <w:rsid w:val="2F042CDC"/>
    <w:rsid w:val="317C78D4"/>
    <w:rsid w:val="36445017"/>
    <w:rsid w:val="3C3D753E"/>
    <w:rsid w:val="3DC43AEF"/>
    <w:rsid w:val="41372914"/>
    <w:rsid w:val="45040EA6"/>
    <w:rsid w:val="47E804CC"/>
    <w:rsid w:val="574E2D9F"/>
    <w:rsid w:val="57C752B9"/>
    <w:rsid w:val="58BC579D"/>
    <w:rsid w:val="5FB05E1F"/>
    <w:rsid w:val="6408751F"/>
    <w:rsid w:val="66D11FE7"/>
    <w:rsid w:val="67933A25"/>
    <w:rsid w:val="6A8A4A97"/>
    <w:rsid w:val="6CC33527"/>
    <w:rsid w:val="6CC706D8"/>
    <w:rsid w:val="71AB39A3"/>
    <w:rsid w:val="734269B6"/>
    <w:rsid w:val="73B020D0"/>
    <w:rsid w:val="7ADD241F"/>
    <w:rsid w:val="7D745762"/>
    <w:rsid w:val="7E2B263C"/>
    <w:rsid w:val="BFDFC42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ind w:firstLine="567"/>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99"/>
    <w:pPr>
      <w:spacing w:before="100" w:beforeAutospacing="1" w:after="100" w:afterAutospacing="1"/>
      <w:jc w:val="left"/>
    </w:pPr>
    <w:rPr>
      <w:rFonts w:cs="Times New Roman"/>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bCs/>
    </w:rPr>
  </w:style>
  <w:style w:type="character" w:styleId="10">
    <w:name w:val="FollowedHyperlink"/>
    <w:basedOn w:val="8"/>
    <w:qFormat/>
    <w:uiPriority w:val="0"/>
    <w:rPr>
      <w:color w:val="333333"/>
      <w:u w:val="none"/>
    </w:rPr>
  </w:style>
  <w:style w:type="character" w:styleId="11">
    <w:name w:val="Emphasis"/>
    <w:basedOn w:val="8"/>
    <w:qFormat/>
    <w:uiPriority w:val="0"/>
    <w:rPr>
      <w:b/>
      <w:bCs/>
    </w:rPr>
  </w:style>
  <w:style w:type="character" w:styleId="12">
    <w:name w:val="HTML Definition"/>
    <w:basedOn w:val="8"/>
    <w:qFormat/>
    <w:uiPriority w:val="0"/>
  </w:style>
  <w:style w:type="character" w:styleId="13">
    <w:name w:val="HTML Variable"/>
    <w:basedOn w:val="8"/>
    <w:qFormat/>
    <w:uiPriority w:val="0"/>
  </w:style>
  <w:style w:type="character" w:styleId="14">
    <w:name w:val="Hyperlink"/>
    <w:basedOn w:val="8"/>
    <w:qFormat/>
    <w:uiPriority w:val="0"/>
    <w:rPr>
      <w:color w:val="333333"/>
      <w:u w:val="none"/>
    </w:rPr>
  </w:style>
  <w:style w:type="character" w:styleId="15">
    <w:name w:val="HTML Code"/>
    <w:basedOn w:val="8"/>
    <w:qFormat/>
    <w:uiPriority w:val="0"/>
    <w:rPr>
      <w:rFonts w:ascii="Courier New" w:hAnsi="Courier New"/>
      <w:sz w:val="20"/>
    </w:rPr>
  </w:style>
  <w:style w:type="character" w:styleId="16">
    <w:name w:val="HTML Cite"/>
    <w:basedOn w:val="8"/>
    <w:qFormat/>
    <w:uiPriority w:val="0"/>
  </w:style>
  <w:style w:type="character" w:styleId="17">
    <w:name w:val="HTML Keyboard"/>
    <w:basedOn w:val="8"/>
    <w:qFormat/>
    <w:uiPriority w:val="0"/>
    <w:rPr>
      <w:rFonts w:ascii="Courier New" w:hAnsi="Courier New"/>
      <w:sz w:val="20"/>
    </w:rPr>
  </w:style>
  <w:style w:type="character" w:styleId="18">
    <w:name w:val="HTML Sample"/>
    <w:basedOn w:val="8"/>
    <w:qFormat/>
    <w:uiPriority w:val="0"/>
    <w:rPr>
      <w:rFonts w:ascii="Courier New" w:hAnsi="Courier New"/>
    </w:rPr>
  </w:style>
  <w:style w:type="paragraph" w:customStyle="1" w:styleId="19">
    <w:name w:val="首行缩进"/>
    <w:basedOn w:val="1"/>
    <w:qFormat/>
    <w:uiPriority w:val="0"/>
  </w:style>
  <w:style w:type="table" w:customStyle="1" w:styleId="20">
    <w:name w:val="网格型1"/>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
    <w:name w:val="pubdate-month"/>
    <w:basedOn w:val="8"/>
    <w:qFormat/>
    <w:uiPriority w:val="0"/>
    <w:rPr>
      <w:color w:val="FFFFFF"/>
      <w:sz w:val="19"/>
      <w:szCs w:val="19"/>
      <w:shd w:val="clear" w:color="auto" w:fill="CC0000"/>
    </w:rPr>
  </w:style>
  <w:style w:type="character" w:customStyle="1" w:styleId="22">
    <w:name w:val="pubdate-day"/>
    <w:basedOn w:val="8"/>
    <w:qFormat/>
    <w:uiPriority w:val="0"/>
    <w:rPr>
      <w:shd w:val="clear" w:color="auto" w:fill="F2F2F2"/>
    </w:rPr>
  </w:style>
  <w:style w:type="character" w:customStyle="1" w:styleId="23">
    <w:name w:val="xubox_tabnow"/>
    <w:basedOn w:val="8"/>
    <w:qFormat/>
    <w:uiPriority w:val="0"/>
    <w:rPr>
      <w:bdr w:val="single" w:color="CCCCCC" w:sz="4" w:space="0"/>
      <w:shd w:val="clear" w:color="auto" w:fill="FFFFFF"/>
    </w:rPr>
  </w:style>
  <w:style w:type="character" w:customStyle="1" w:styleId="24">
    <w:name w:val="item-name"/>
    <w:basedOn w:val="8"/>
    <w:qFormat/>
    <w:uiPriority w:val="0"/>
  </w:style>
  <w:style w:type="character" w:customStyle="1" w:styleId="25">
    <w:name w:val="item-name1"/>
    <w:basedOn w:val="8"/>
    <w:qFormat/>
    <w:uiPriority w:val="0"/>
  </w:style>
  <w:style w:type="character" w:customStyle="1" w:styleId="26">
    <w:name w:val="item-name2"/>
    <w:basedOn w:val="8"/>
    <w:qFormat/>
    <w:uiPriority w:val="0"/>
    <w:rPr>
      <w:vanish/>
    </w:rPr>
  </w:style>
  <w:style w:type="character" w:customStyle="1" w:styleId="27">
    <w:name w:val="column-name18"/>
    <w:basedOn w:val="8"/>
    <w:qFormat/>
    <w:uiPriority w:val="0"/>
    <w:rPr>
      <w:color w:val="01A5D7"/>
    </w:rPr>
  </w:style>
  <w:style w:type="character" w:customStyle="1" w:styleId="28">
    <w:name w:val="column-name"/>
    <w:basedOn w:val="8"/>
    <w:qFormat/>
    <w:uiPriority w:val="0"/>
    <w:rPr>
      <w:color w:val="01A5D7"/>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961</Words>
  <Characters>5484</Characters>
  <Lines>45</Lines>
  <Paragraphs>12</Paragraphs>
  <TotalTime>0</TotalTime>
  <ScaleCrop>false</ScaleCrop>
  <LinksUpToDate>false</LinksUpToDate>
  <CharactersWithSpaces>6433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2023-12-04T11:00:00Z</dcterms:created>
  <dc:creator>LYH</dc:creator>
  <cp:lastModifiedBy>shenling</cp:lastModifiedBy>
  <cp:lastPrinted>2023-10-24T08:04:00Z</cp:lastPrinted>
  <dcterms:modified xsi:type="dcterms:W3CDTF">2023-12-07T01:26:09Z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83DCEA92728B4E2D8153E3488AA17001_13</vt:lpwstr>
  </property>
</Properties>
</file>